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6871AE">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井研县农业农村局</w:t>
      </w:r>
    </w:p>
    <w:p w14:paraId="67AF04F8">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w:t>
      </w:r>
      <w:r>
        <w:rPr>
          <w:rStyle w:val="36"/>
          <w:rFonts w:hint="eastAsia" w:ascii="方正小标宋简体" w:hAnsi="方正小标宋简体" w:eastAsia="方正小标宋简体" w:cs="方正小标宋简体"/>
          <w:color w:val="000000"/>
          <w:spacing w:val="0"/>
          <w:w w:val="100"/>
          <w:sz w:val="44"/>
          <w:szCs w:val="44"/>
        </w:rPr>
        <w:t>202</w:t>
      </w:r>
      <w:r>
        <w:rPr>
          <w:rStyle w:val="36"/>
          <w:rFonts w:hint="eastAsia" w:ascii="方正小标宋简体" w:hAnsi="方正小标宋简体" w:eastAsia="方正小标宋简体" w:cs="方正小标宋简体"/>
          <w:color w:val="000000"/>
          <w:spacing w:val="0"/>
          <w:w w:val="100"/>
          <w:sz w:val="44"/>
          <w:szCs w:val="44"/>
          <w:lang w:val="en-US" w:eastAsia="zh-CN"/>
        </w:rPr>
        <w:t>4</w:t>
      </w:r>
      <w:r>
        <w:rPr>
          <w:rStyle w:val="36"/>
          <w:rFonts w:hint="eastAsia" w:ascii="方正小标宋简体" w:hAnsi="方正小标宋简体" w:eastAsia="方正小标宋简体" w:cs="方正小标宋简体"/>
          <w:color w:val="000000"/>
          <w:spacing w:val="0"/>
          <w:w w:val="100"/>
          <w:sz w:val="44"/>
          <w:szCs w:val="44"/>
        </w:rPr>
        <w:t>年井研县农业社会化服务项目</w:t>
      </w:r>
      <w:r>
        <w:rPr>
          <w:rFonts w:hint="eastAsia" w:ascii="方正小标宋简体" w:hAnsi="方正小标宋简体" w:eastAsia="方正小标宋简体" w:cs="方正小标宋简体"/>
          <w:sz w:val="44"/>
          <w:szCs w:val="44"/>
          <w:lang w:val="en-US" w:eastAsia="zh-CN"/>
        </w:rPr>
        <w:t>优选服务主体的第四次公告</w:t>
      </w:r>
    </w:p>
    <w:p w14:paraId="5B7B91CA">
      <w:pPr>
        <w:ind w:firstLine="640" w:firstLineChars="200"/>
        <w:rPr>
          <w:rFonts w:hint="eastAsia"/>
          <w:sz w:val="32"/>
          <w:szCs w:val="32"/>
          <w:lang w:val="en-US" w:eastAsia="zh-CN"/>
        </w:rPr>
      </w:pPr>
    </w:p>
    <w:p w14:paraId="66DC0DC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spacing w:val="0"/>
          <w:kern w:val="21"/>
          <w:sz w:val="32"/>
          <w:szCs w:val="32"/>
          <w:highlight w:val="none"/>
          <w:lang w:val="en-US" w:eastAsia="zh-CN"/>
        </w:rPr>
      </w:pPr>
      <w:r>
        <w:rPr>
          <w:rFonts w:hint="eastAsia" w:ascii="Times New Roman" w:hAnsi="Times New Roman" w:eastAsia="仿宋_GB2312" w:cs="Times New Roman"/>
          <w:b w:val="0"/>
          <w:bCs/>
          <w:spacing w:val="0"/>
          <w:kern w:val="21"/>
          <w:sz w:val="32"/>
          <w:szCs w:val="32"/>
          <w:highlight w:val="none"/>
          <w:lang w:val="en-US" w:eastAsia="zh-CN"/>
        </w:rPr>
        <w:t>根据井研县农业农村局 井研县供销合作社联合社《关于审定2024年井研县农业社会化服务项目组织实施方案的请示》（井农〔2024〕106号）的要求，按照2025年3月19日召开2024年社会化服务项目推进会会议精神。现再次就2024年优选农业社会化服务主体的相关内容公告如下，欢迎符合条件的服务主体报名。</w:t>
      </w:r>
    </w:p>
    <w:p w14:paraId="630B828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一、资格要求</w:t>
      </w:r>
    </w:p>
    <w:p w14:paraId="0F06D3E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依法成立的农村集体经济组织、新型农业经营主体和农业经营性服务主体等农业社会化服务组织。包括村集体经济组织、家庭农场、合作社、企业、公司等社会化服务主体。上述主体能够在约定期限为实施区域内农户和新型农业经营主体提供农业生产托管或半托管服务。</w:t>
      </w:r>
    </w:p>
    <w:p w14:paraId="5EE3905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上述主体需具备以下条件：</w:t>
      </w:r>
    </w:p>
    <w:p w14:paraId="7392F57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（一）具有独立承担民事责任的能力；</w:t>
      </w:r>
    </w:p>
    <w:p w14:paraId="1B8D97F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（二）具有履行合同所必须的设备和专业技术能力；</w:t>
      </w:r>
    </w:p>
    <w:p w14:paraId="03423EF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（三）营业执照经营范围含农业社会化服务或农业技术服务或农业技术培训或农业机械化种植或植保服务等相关内容；</w:t>
      </w:r>
    </w:p>
    <w:p w14:paraId="64BD467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（四）参加本次优选农业社会化服务主体活动前五年内，在经营活动中没有重大违法违规记录（证明或承诺）。</w:t>
      </w:r>
    </w:p>
    <w:p w14:paraId="2090F84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二、作业要求</w:t>
      </w:r>
    </w:p>
    <w:p w14:paraId="2B71EB5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spacing w:val="0"/>
          <w:kern w:val="21"/>
          <w:sz w:val="32"/>
          <w:szCs w:val="32"/>
          <w:highlight w:val="none"/>
          <w:lang w:val="en-US" w:eastAsia="zh-CN"/>
        </w:rPr>
      </w:pPr>
      <w:r>
        <w:rPr>
          <w:rFonts w:hint="eastAsia" w:ascii="Times New Roman" w:hAnsi="Times New Roman" w:eastAsia="仿宋_GB2312" w:cs="Times New Roman"/>
          <w:b w:val="0"/>
          <w:bCs/>
          <w:spacing w:val="0"/>
          <w:kern w:val="21"/>
          <w:sz w:val="32"/>
          <w:szCs w:val="32"/>
          <w:highlight w:val="none"/>
          <w:lang w:val="en-US" w:eastAsia="zh-CN"/>
        </w:rPr>
        <w:t>全县15个镇（街道），项目资金优先向2024年和美乡村建设任务的6个村（研城街道高坡村、马踏镇七盘山村、周坡镇乌抛村、竹园镇胜泉村、千佛镇新群村、宝五镇塘湾村）倾斜，项目资金比例不低于25%。</w:t>
      </w:r>
    </w:p>
    <w:p w14:paraId="731C2C03">
      <w:p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三、商务要求</w:t>
      </w:r>
    </w:p>
    <w:p w14:paraId="7BF4233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spacing w:val="0"/>
          <w:kern w:val="21"/>
          <w:sz w:val="32"/>
          <w:szCs w:val="32"/>
          <w:highlight w:val="none"/>
          <w:lang w:val="en-US" w:eastAsia="zh-CN"/>
        </w:rPr>
      </w:pPr>
      <w:r>
        <w:rPr>
          <w:rFonts w:hint="eastAsia" w:ascii="Times New Roman" w:hAnsi="Times New Roman" w:eastAsia="仿宋_GB2312" w:cs="Times New Roman"/>
          <w:b w:val="0"/>
          <w:bCs/>
          <w:spacing w:val="0"/>
          <w:kern w:val="21"/>
          <w:sz w:val="32"/>
          <w:szCs w:val="32"/>
          <w:highlight w:val="none"/>
          <w:lang w:val="en-US" w:eastAsia="zh-CN"/>
        </w:rPr>
        <w:t>（一）由承接服务的社会化服务主体与农户所在村集体经济组织、新型农业经营主体等服务对象签订服务合同；</w:t>
      </w:r>
    </w:p>
    <w:p w14:paraId="36CDCC5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spacing w:val="0"/>
          <w:kern w:val="21"/>
          <w:sz w:val="32"/>
          <w:szCs w:val="32"/>
          <w:highlight w:val="none"/>
          <w:lang w:val="en-US" w:eastAsia="zh-CN"/>
        </w:rPr>
      </w:pPr>
      <w:r>
        <w:rPr>
          <w:rFonts w:hint="eastAsia" w:ascii="Times New Roman" w:hAnsi="Times New Roman" w:eastAsia="仿宋_GB2312" w:cs="Times New Roman"/>
          <w:b w:val="0"/>
          <w:bCs/>
          <w:spacing w:val="0"/>
          <w:kern w:val="21"/>
          <w:sz w:val="32"/>
          <w:szCs w:val="32"/>
          <w:highlight w:val="none"/>
          <w:lang w:val="en-US" w:eastAsia="zh-CN"/>
        </w:rPr>
        <w:t>（二）服务过程中，由服务人员填写服务日志，详细记录作业对象姓名、面积、地点、身份证号码、社保卡号码等，并由服务对象对服务面积、服务质量、服务态度等进行评价并签字确认。</w:t>
      </w:r>
    </w:p>
    <w:p w14:paraId="2276AE22">
      <w:p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四、申报材料</w:t>
      </w:r>
    </w:p>
    <w:p w14:paraId="6A4ADBC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spacing w:val="0"/>
          <w:kern w:val="21"/>
          <w:sz w:val="32"/>
          <w:szCs w:val="32"/>
          <w:highlight w:val="none"/>
          <w:lang w:val="en-US" w:eastAsia="zh-CN"/>
        </w:rPr>
      </w:pPr>
      <w:r>
        <w:rPr>
          <w:rFonts w:hint="eastAsia" w:ascii="Times New Roman" w:hAnsi="Times New Roman" w:eastAsia="仿宋_GB2312" w:cs="Times New Roman"/>
          <w:b w:val="0"/>
          <w:bCs/>
          <w:spacing w:val="0"/>
          <w:kern w:val="21"/>
          <w:sz w:val="32"/>
          <w:szCs w:val="32"/>
          <w:highlight w:val="none"/>
          <w:lang w:val="en-US" w:eastAsia="zh-CN"/>
        </w:rPr>
        <w:t>（一）申报表；</w:t>
      </w:r>
    </w:p>
    <w:p w14:paraId="72D6E3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spacing w:val="0"/>
          <w:kern w:val="21"/>
          <w:sz w:val="32"/>
          <w:szCs w:val="32"/>
          <w:highlight w:val="none"/>
          <w:lang w:val="en-US" w:eastAsia="zh-CN"/>
        </w:rPr>
      </w:pPr>
      <w:r>
        <w:rPr>
          <w:rFonts w:hint="eastAsia" w:ascii="Times New Roman" w:hAnsi="Times New Roman" w:eastAsia="仿宋_GB2312" w:cs="Times New Roman"/>
          <w:b w:val="0"/>
          <w:bCs/>
          <w:spacing w:val="0"/>
          <w:kern w:val="21"/>
          <w:sz w:val="32"/>
          <w:szCs w:val="32"/>
          <w:highlight w:val="none"/>
          <w:lang w:val="en-US" w:eastAsia="zh-CN"/>
        </w:rPr>
        <w:t>（二）提供有效期内含农业社会化服务或农业技术服务或农业技术培训或农业机械化种植或植保服务等相关内容的营业执照或</w:t>
      </w:r>
      <w:r>
        <w:rPr>
          <w:rFonts w:hint="eastAsia" w:ascii="仿宋_GB2312" w:hAnsi="仿宋_GB2312" w:eastAsia="仿宋_GB2312" w:cs="仿宋_GB2312"/>
          <w:sz w:val="32"/>
          <w:szCs w:val="32"/>
          <w:lang w:val="en-US" w:eastAsia="zh-CN"/>
        </w:rPr>
        <w:t>农村集体经济组织登记证</w:t>
      </w:r>
      <w:r>
        <w:rPr>
          <w:rFonts w:hint="eastAsia" w:ascii="Times New Roman" w:hAnsi="Times New Roman" w:eastAsia="仿宋_GB2312" w:cs="Times New Roman"/>
          <w:b w:val="0"/>
          <w:bCs/>
          <w:spacing w:val="0"/>
          <w:kern w:val="21"/>
          <w:sz w:val="32"/>
          <w:szCs w:val="32"/>
          <w:highlight w:val="none"/>
          <w:lang w:val="en-US" w:eastAsia="zh-CN"/>
        </w:rPr>
        <w:t>复印件；</w:t>
      </w:r>
    </w:p>
    <w:p w14:paraId="7EFA89F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spacing w:val="0"/>
          <w:kern w:val="21"/>
          <w:sz w:val="32"/>
          <w:szCs w:val="32"/>
          <w:highlight w:val="none"/>
          <w:lang w:val="en-US" w:eastAsia="zh-CN"/>
        </w:rPr>
      </w:pPr>
      <w:r>
        <w:rPr>
          <w:rFonts w:hint="eastAsia" w:ascii="Times New Roman" w:hAnsi="Times New Roman" w:eastAsia="仿宋_GB2312" w:cs="Times New Roman"/>
          <w:b w:val="0"/>
          <w:bCs/>
          <w:spacing w:val="0"/>
          <w:kern w:val="21"/>
          <w:sz w:val="32"/>
          <w:szCs w:val="32"/>
          <w:highlight w:val="none"/>
          <w:lang w:val="en-US" w:eastAsia="zh-CN"/>
        </w:rPr>
        <w:t>（三）提供具有农业生产社会化服务能力的农业作业机具的证明资料（含固定资产原值及登记表册、图片等）；人员配备情况（含固定办公人员和临时聘用人员）；提供服务承诺及荣誉证书等相关资料；</w:t>
      </w:r>
    </w:p>
    <w:p w14:paraId="1BD9139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spacing w:val="0"/>
          <w:kern w:val="21"/>
          <w:sz w:val="32"/>
          <w:szCs w:val="32"/>
          <w:highlight w:val="none"/>
          <w:lang w:val="en-US" w:eastAsia="zh-CN"/>
        </w:rPr>
      </w:pPr>
      <w:r>
        <w:rPr>
          <w:rFonts w:hint="eastAsia" w:ascii="Times New Roman" w:hAnsi="Times New Roman" w:eastAsia="仿宋_GB2312" w:cs="Times New Roman"/>
          <w:b w:val="0"/>
          <w:bCs/>
          <w:spacing w:val="0"/>
          <w:kern w:val="21"/>
          <w:sz w:val="32"/>
          <w:szCs w:val="32"/>
          <w:highlight w:val="none"/>
          <w:lang w:val="en-US" w:eastAsia="zh-CN"/>
        </w:rPr>
        <w:t>（四）可提供农业生产相关环节托管半托管证明资料（提供者优先）；</w:t>
      </w:r>
    </w:p>
    <w:p w14:paraId="2C43537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spacing w:val="0"/>
          <w:kern w:val="21"/>
          <w:sz w:val="32"/>
          <w:szCs w:val="32"/>
          <w:highlight w:val="none"/>
          <w:lang w:val="en-US" w:eastAsia="zh-CN"/>
        </w:rPr>
      </w:pPr>
      <w:r>
        <w:rPr>
          <w:rFonts w:hint="eastAsia" w:ascii="Times New Roman" w:hAnsi="Times New Roman" w:eastAsia="仿宋_GB2312" w:cs="Times New Roman"/>
          <w:b w:val="0"/>
          <w:bCs/>
          <w:spacing w:val="0"/>
          <w:kern w:val="21"/>
          <w:sz w:val="32"/>
          <w:szCs w:val="32"/>
          <w:highlight w:val="none"/>
          <w:lang w:val="en-US" w:eastAsia="zh-CN"/>
        </w:rPr>
        <w:t>（五）法定代表人授权委托书原件、法定代表人身份证复印件及受委托人身份证复印件；</w:t>
      </w:r>
    </w:p>
    <w:p w14:paraId="3AED96F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spacing w:val="0"/>
          <w:kern w:val="21"/>
          <w:sz w:val="32"/>
          <w:szCs w:val="32"/>
          <w:highlight w:val="none"/>
          <w:lang w:val="en-US" w:eastAsia="zh-CN"/>
        </w:rPr>
      </w:pPr>
      <w:r>
        <w:rPr>
          <w:rFonts w:hint="eastAsia" w:ascii="Times New Roman" w:hAnsi="Times New Roman" w:eastAsia="仿宋_GB2312" w:cs="Times New Roman"/>
          <w:b w:val="0"/>
          <w:bCs/>
          <w:spacing w:val="0"/>
          <w:kern w:val="21"/>
          <w:sz w:val="32"/>
          <w:szCs w:val="32"/>
          <w:highlight w:val="none"/>
          <w:lang w:val="en-US" w:eastAsia="zh-CN"/>
        </w:rPr>
        <w:t>（六）近一年内任意一个月缴纳税收和社会保障资金的证明材料（家庭农场、专业合作社可不提供）；</w:t>
      </w:r>
    </w:p>
    <w:p w14:paraId="55466BC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spacing w:val="0"/>
          <w:kern w:val="21"/>
          <w:sz w:val="32"/>
          <w:szCs w:val="32"/>
          <w:highlight w:val="none"/>
          <w:lang w:val="en-US" w:eastAsia="zh-CN"/>
        </w:rPr>
      </w:pPr>
      <w:r>
        <w:rPr>
          <w:rFonts w:hint="eastAsia" w:ascii="Times New Roman" w:hAnsi="Times New Roman" w:eastAsia="仿宋_GB2312" w:cs="Times New Roman"/>
          <w:b w:val="0"/>
          <w:bCs/>
          <w:spacing w:val="0"/>
          <w:kern w:val="21"/>
          <w:sz w:val="32"/>
          <w:szCs w:val="32"/>
          <w:highlight w:val="none"/>
          <w:lang w:val="en-US" w:eastAsia="zh-CN"/>
        </w:rPr>
        <w:t>（七）2023年的年度财务报表（家庭农场、专业合作社可不提供）；</w:t>
      </w:r>
    </w:p>
    <w:p w14:paraId="2863A5B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color w:val="auto"/>
          <w:spacing w:val="0"/>
          <w:kern w:val="21"/>
          <w:sz w:val="32"/>
          <w:szCs w:val="32"/>
          <w:highlight w:val="none"/>
          <w:lang w:val="en-US" w:eastAsia="zh-CN"/>
        </w:rPr>
      </w:pPr>
      <w:r>
        <w:rPr>
          <w:rFonts w:hint="eastAsia" w:ascii="Times New Roman" w:hAnsi="Times New Roman" w:eastAsia="仿宋_GB2312" w:cs="Times New Roman"/>
          <w:b w:val="0"/>
          <w:bCs/>
          <w:color w:val="auto"/>
          <w:spacing w:val="0"/>
          <w:kern w:val="21"/>
          <w:sz w:val="32"/>
          <w:szCs w:val="32"/>
          <w:highlight w:val="none"/>
          <w:lang w:val="en-US" w:eastAsia="zh-CN"/>
        </w:rPr>
        <w:t>（八）参加本次优选农业社会化服务主体活动前五年内，在经营活动中没有重大违法违规记录（证明或承诺）；</w:t>
      </w:r>
    </w:p>
    <w:p w14:paraId="7301100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Times New Roman" w:hAnsi="Times New Roman" w:eastAsia="仿宋_GB2312" w:cs="Times New Roman"/>
          <w:b w:val="0"/>
          <w:bCs/>
          <w:color w:val="auto"/>
          <w:spacing w:val="0"/>
          <w:kern w:val="21"/>
          <w:sz w:val="32"/>
          <w:szCs w:val="32"/>
          <w:highlight w:val="none"/>
          <w:lang w:val="en-US" w:eastAsia="zh-CN"/>
        </w:rPr>
        <w:t>（九）注</w:t>
      </w:r>
      <w:r>
        <w:rPr>
          <w:rFonts w:hint="eastAsia" w:ascii="仿宋_GB2312" w:hAnsi="仿宋_GB2312" w:eastAsia="仿宋_GB2312" w:cs="仿宋_GB2312"/>
          <w:color w:val="auto"/>
          <w:sz w:val="32"/>
          <w:szCs w:val="32"/>
          <w:lang w:val="en-US" w:eastAsia="zh-CN"/>
        </w:rPr>
        <w:t>册地所在镇（街道）出具的推荐函。</w:t>
      </w:r>
    </w:p>
    <w:p w14:paraId="08B93DF7">
      <w:p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五、确定服务主体</w:t>
      </w:r>
    </w:p>
    <w:p w14:paraId="41AA149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县农业农村局牵头组织，遵循“公开、公平、公正”的原则，采取专家评审的方式，对符合申报条件的服务主体结合项目任务量和其服务能力，按照每个服务环节优选服务质量较好、服务能力较强和农民满意度高的服务主体提供服务，每个环节确定的服务主体原则上不少于三个。县农业农村局与服务主体签订服务合同，明确服务的任务数量、质量、补助标准、任务验收确认等。  </w:t>
      </w:r>
    </w:p>
    <w:p w14:paraId="7CA544BB">
      <w:p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六、公示及评审时间、地点</w:t>
      </w:r>
    </w:p>
    <w:p w14:paraId="46C75CA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color w:val="auto"/>
          <w:spacing w:val="0"/>
          <w:kern w:val="21"/>
          <w:sz w:val="32"/>
          <w:szCs w:val="32"/>
          <w:highlight w:val="none"/>
          <w:lang w:val="en-US" w:eastAsia="zh-CN"/>
        </w:rPr>
      </w:pPr>
      <w:r>
        <w:rPr>
          <w:rFonts w:hint="eastAsia" w:ascii="Times New Roman" w:hAnsi="Times New Roman" w:eastAsia="仿宋_GB2312" w:cs="Times New Roman"/>
          <w:b w:val="0"/>
          <w:bCs/>
          <w:spacing w:val="0"/>
          <w:kern w:val="21"/>
          <w:sz w:val="32"/>
          <w:szCs w:val="32"/>
          <w:highlight w:val="none"/>
          <w:lang w:val="en-US" w:eastAsia="zh-CN"/>
        </w:rPr>
        <w:t>（一）公示时间：2025年</w:t>
      </w:r>
      <w:r>
        <w:rPr>
          <w:rFonts w:hint="eastAsia" w:ascii="Times New Roman" w:hAnsi="Times New Roman" w:eastAsia="仿宋_GB2312" w:cs="Times New Roman"/>
          <w:b w:val="0"/>
          <w:bCs/>
          <w:color w:val="auto"/>
          <w:spacing w:val="0"/>
          <w:kern w:val="21"/>
          <w:sz w:val="32"/>
          <w:szCs w:val="32"/>
          <w:highlight w:val="none"/>
          <w:lang w:val="en-US" w:eastAsia="zh-CN"/>
        </w:rPr>
        <w:t>4月1日至2025年4月9日。</w:t>
      </w:r>
    </w:p>
    <w:p w14:paraId="7CE4E56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spacing w:val="0"/>
          <w:kern w:val="21"/>
          <w:sz w:val="32"/>
          <w:szCs w:val="32"/>
          <w:highlight w:val="none"/>
          <w:lang w:val="en-US" w:eastAsia="zh-CN"/>
        </w:rPr>
      </w:pPr>
      <w:r>
        <w:rPr>
          <w:rFonts w:hint="eastAsia" w:ascii="Times New Roman" w:hAnsi="Times New Roman" w:eastAsia="仿宋_GB2312" w:cs="Times New Roman"/>
          <w:b w:val="0"/>
          <w:bCs/>
          <w:spacing w:val="0"/>
          <w:kern w:val="21"/>
          <w:sz w:val="32"/>
          <w:szCs w:val="32"/>
          <w:highlight w:val="none"/>
          <w:lang w:val="en-US" w:eastAsia="zh-CN"/>
        </w:rPr>
        <w:t>（二）</w:t>
      </w:r>
      <w:r>
        <w:rPr>
          <w:rFonts w:hint="eastAsia" w:ascii="Times New Roman" w:hAnsi="Times New Roman" w:eastAsia="仿宋_GB2312" w:cs="Times New Roman"/>
          <w:b w:val="0"/>
          <w:bCs/>
          <w:color w:val="auto"/>
          <w:spacing w:val="0"/>
          <w:kern w:val="21"/>
          <w:sz w:val="32"/>
          <w:szCs w:val="32"/>
          <w:highlight w:val="none"/>
          <w:lang w:val="en-US" w:eastAsia="zh-CN"/>
        </w:rPr>
        <w:t>申报及评审时间：20</w:t>
      </w:r>
      <w:r>
        <w:rPr>
          <w:rFonts w:hint="eastAsia" w:ascii="Times New Roman" w:hAnsi="Times New Roman" w:eastAsia="仿宋_GB2312" w:cs="Times New Roman"/>
          <w:b w:val="0"/>
          <w:bCs/>
          <w:spacing w:val="0"/>
          <w:kern w:val="21"/>
          <w:sz w:val="32"/>
          <w:szCs w:val="32"/>
          <w:highlight w:val="none"/>
          <w:lang w:val="en-US" w:eastAsia="zh-CN"/>
        </w:rPr>
        <w:t>25年4月9日上午9:30前将申报材料（含申报表）密封盖章，一式两份交县农业农村局，逾期不再受理；评审时间为4月9日上午10：00。</w:t>
      </w:r>
      <w:bookmarkStart w:id="0" w:name="_GoBack"/>
      <w:bookmarkEnd w:id="0"/>
    </w:p>
    <w:p w14:paraId="6F8F95C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spacing w:val="0"/>
          <w:kern w:val="21"/>
          <w:sz w:val="32"/>
          <w:szCs w:val="32"/>
          <w:highlight w:val="none"/>
          <w:lang w:val="en-US" w:eastAsia="zh-CN"/>
        </w:rPr>
      </w:pPr>
      <w:r>
        <w:rPr>
          <w:rFonts w:hint="eastAsia" w:ascii="Times New Roman" w:hAnsi="Times New Roman" w:eastAsia="仿宋_GB2312" w:cs="Times New Roman"/>
          <w:b w:val="0"/>
          <w:bCs/>
          <w:spacing w:val="0"/>
          <w:kern w:val="21"/>
          <w:sz w:val="32"/>
          <w:szCs w:val="32"/>
          <w:highlight w:val="none"/>
          <w:lang w:val="en-US" w:eastAsia="zh-CN"/>
        </w:rPr>
        <w:t>（三）申报地点：井研县农业农村局农村合作经济股。</w:t>
      </w:r>
    </w:p>
    <w:p w14:paraId="3622ED2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14:paraId="0256E73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eastAsia" w:ascii="Times New Roman" w:hAnsi="Times New Roman" w:eastAsia="仿宋_GB2312" w:cs="Times New Roman"/>
          <w:b w:val="0"/>
          <w:bCs/>
          <w:spacing w:val="0"/>
          <w:kern w:val="21"/>
          <w:sz w:val="32"/>
          <w:szCs w:val="32"/>
          <w:highlight w:val="none"/>
          <w:lang w:val="en-US" w:eastAsia="zh-CN"/>
        </w:rPr>
        <w:t>：1.2024年井研县农业社</w:t>
      </w:r>
      <w:r>
        <w:rPr>
          <w:rFonts w:hint="eastAsia" w:ascii="仿宋_GB2312" w:hAnsi="仿宋_GB2312" w:eastAsia="仿宋_GB2312" w:cs="仿宋_GB2312"/>
          <w:sz w:val="32"/>
          <w:szCs w:val="32"/>
          <w:lang w:val="en-US" w:eastAsia="zh-CN"/>
        </w:rPr>
        <w:t>会化服务项目组织实施方案</w:t>
      </w:r>
    </w:p>
    <w:p w14:paraId="772C6FBE">
      <w:pPr>
        <w:keepNext w:val="0"/>
        <w:keepLines w:val="0"/>
        <w:pageBreakBefore w:val="0"/>
        <w:widowControl w:val="0"/>
        <w:kinsoku/>
        <w:wordWrap/>
        <w:overflowPunct w:val="0"/>
        <w:topLinePunct w:val="0"/>
        <w:autoSpaceDE/>
        <w:autoSpaceDN/>
        <w:bidi w:val="0"/>
        <w:adjustRightInd w:val="0"/>
        <w:snapToGrid w:val="0"/>
        <w:spacing w:beforeAutospacing="0" w:line="580" w:lineRule="exact"/>
        <w:ind w:left="1916" w:leftChars="760" w:hanging="320" w:hangingChars="100"/>
        <w:jc w:val="both"/>
        <w:textAlignment w:val="auto"/>
        <w:rPr>
          <w:rFonts w:hint="eastAsia" w:ascii="Times New Roman" w:hAnsi="Times New Roman" w:eastAsia="仿宋_GB2312" w:cs="Times New Roman"/>
          <w:b w:val="0"/>
          <w:bCs/>
          <w:spacing w:val="0"/>
          <w:kern w:val="21"/>
          <w:sz w:val="32"/>
          <w:szCs w:val="32"/>
          <w:highlight w:val="none"/>
          <w:lang w:val="en-US" w:eastAsia="zh-CN"/>
        </w:rPr>
      </w:pPr>
      <w:r>
        <w:rPr>
          <w:rFonts w:hint="eastAsia" w:ascii="Times New Roman" w:hAnsi="Times New Roman" w:eastAsia="仿宋_GB2312" w:cs="Times New Roman"/>
          <w:b w:val="0"/>
          <w:bCs/>
          <w:spacing w:val="0"/>
          <w:kern w:val="21"/>
          <w:sz w:val="32"/>
          <w:szCs w:val="32"/>
          <w:highlight w:val="none"/>
          <w:lang w:val="en-US" w:eastAsia="zh-CN"/>
        </w:rPr>
        <w:t xml:space="preserve">2.2024年井研县农业社会化服务项目承接主体申请表 </w:t>
      </w:r>
    </w:p>
    <w:p w14:paraId="753FCD07">
      <w:pPr>
        <w:keepNext w:val="0"/>
        <w:keepLines w:val="0"/>
        <w:pageBreakBefore w:val="0"/>
        <w:widowControl w:val="0"/>
        <w:kinsoku/>
        <w:wordWrap/>
        <w:overflowPunct w:val="0"/>
        <w:topLinePunct w:val="0"/>
        <w:autoSpaceDE/>
        <w:autoSpaceDN/>
        <w:bidi w:val="0"/>
        <w:adjustRightInd w:val="0"/>
        <w:snapToGrid w:val="0"/>
        <w:spacing w:beforeAutospacing="0" w:line="580" w:lineRule="exact"/>
        <w:ind w:left="1918" w:leftChars="304" w:hanging="1280" w:hangingChars="400"/>
        <w:jc w:val="both"/>
        <w:textAlignment w:val="auto"/>
        <w:rPr>
          <w:rFonts w:hint="eastAsia" w:ascii="Times New Roman" w:hAnsi="Times New Roman" w:eastAsia="仿宋_GB2312" w:cs="Times New Roman"/>
          <w:b w:val="0"/>
          <w:bCs/>
          <w:spacing w:val="0"/>
          <w:kern w:val="21"/>
          <w:sz w:val="32"/>
          <w:szCs w:val="32"/>
          <w:highlight w:val="none"/>
          <w:lang w:val="en-US" w:eastAsia="zh-CN"/>
        </w:rPr>
      </w:pPr>
    </w:p>
    <w:p w14:paraId="652861B7">
      <w:pPr>
        <w:keepNext w:val="0"/>
        <w:keepLines w:val="0"/>
        <w:pageBreakBefore w:val="0"/>
        <w:widowControl w:val="0"/>
        <w:kinsoku/>
        <w:wordWrap/>
        <w:overflowPunct w:val="0"/>
        <w:topLinePunct w:val="0"/>
        <w:autoSpaceDE/>
        <w:autoSpaceDN/>
        <w:bidi w:val="0"/>
        <w:adjustRightInd w:val="0"/>
        <w:snapToGrid w:val="0"/>
        <w:spacing w:beforeAutospacing="0" w:line="580" w:lineRule="exact"/>
        <w:ind w:left="1918" w:leftChars="304" w:hanging="1280" w:hangingChars="400"/>
        <w:jc w:val="both"/>
        <w:textAlignment w:val="auto"/>
        <w:rPr>
          <w:rFonts w:hint="eastAsia" w:ascii="Times New Roman" w:hAnsi="Times New Roman" w:eastAsia="仿宋_GB2312" w:cs="Times New Roman"/>
          <w:b w:val="0"/>
          <w:bCs/>
          <w:spacing w:val="0"/>
          <w:kern w:val="21"/>
          <w:sz w:val="32"/>
          <w:szCs w:val="32"/>
          <w:highlight w:val="none"/>
          <w:lang w:val="en-US" w:eastAsia="zh-CN"/>
        </w:rPr>
      </w:pPr>
    </w:p>
    <w:p w14:paraId="5771DCBE">
      <w:pPr>
        <w:keepNext w:val="0"/>
        <w:keepLines w:val="0"/>
        <w:pageBreakBefore w:val="0"/>
        <w:widowControl w:val="0"/>
        <w:kinsoku/>
        <w:wordWrap/>
        <w:overflowPunct w:val="0"/>
        <w:topLinePunct w:val="0"/>
        <w:autoSpaceDE/>
        <w:autoSpaceDN/>
        <w:bidi w:val="0"/>
        <w:adjustRightInd w:val="0"/>
        <w:snapToGrid w:val="0"/>
        <w:spacing w:beforeAutospacing="0" w:line="580" w:lineRule="exact"/>
        <w:ind w:left="1918" w:leftChars="304" w:hanging="1280" w:hangingChars="400"/>
        <w:jc w:val="both"/>
        <w:textAlignment w:val="auto"/>
        <w:rPr>
          <w:rFonts w:hint="eastAsia" w:ascii="Times New Roman" w:hAnsi="Times New Roman" w:eastAsia="仿宋_GB2312" w:cs="Times New Roman"/>
          <w:b w:val="0"/>
          <w:bCs/>
          <w:spacing w:val="0"/>
          <w:kern w:val="21"/>
          <w:sz w:val="32"/>
          <w:szCs w:val="32"/>
          <w:highlight w:val="none"/>
          <w:lang w:val="en-US" w:eastAsia="zh-CN"/>
        </w:rPr>
      </w:pPr>
    </w:p>
    <w:p w14:paraId="3D0E472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井研县农业农村局</w:t>
      </w:r>
    </w:p>
    <w:p w14:paraId="3FEC8858">
      <w:pPr>
        <w:keepNext w:val="0"/>
        <w:keepLines w:val="0"/>
        <w:pageBreakBefore w:val="0"/>
        <w:widowControl w:val="0"/>
        <w:kinsoku/>
        <w:wordWrap/>
        <w:overflowPunct w:val="0"/>
        <w:topLinePunct w:val="0"/>
        <w:autoSpaceDE/>
        <w:autoSpaceDN/>
        <w:bidi w:val="0"/>
        <w:adjustRightInd w:val="0"/>
        <w:snapToGrid w:val="0"/>
        <w:spacing w:beforeAutospacing="0" w:line="580" w:lineRule="exact"/>
        <w:ind w:left="1915" w:leftChars="912" w:firstLine="2880" w:firstLineChars="900"/>
        <w:jc w:val="both"/>
        <w:textAlignment w:val="auto"/>
        <w:rPr>
          <w:rFonts w:hint="default" w:ascii="Times New Roman" w:hAnsi="Times New Roman" w:eastAsia="仿宋_GB2312" w:cs="Times New Roman"/>
          <w:b w:val="0"/>
          <w:bCs/>
          <w:spacing w:val="0"/>
          <w:kern w:val="21"/>
          <w:sz w:val="32"/>
          <w:szCs w:val="32"/>
          <w:highlight w:val="none"/>
          <w:lang w:val="en-US" w:eastAsia="zh-CN"/>
        </w:rPr>
      </w:pPr>
      <w:r>
        <w:rPr>
          <w:rFonts w:hint="eastAsia" w:ascii="Times New Roman" w:hAnsi="Times New Roman" w:eastAsia="仿宋_GB2312" w:cs="Times New Roman"/>
          <w:b w:val="0"/>
          <w:bCs/>
          <w:spacing w:val="0"/>
          <w:kern w:val="21"/>
          <w:sz w:val="32"/>
          <w:szCs w:val="32"/>
          <w:highlight w:val="none"/>
          <w:lang w:val="en-US" w:eastAsia="zh-CN"/>
        </w:rPr>
        <w:t>2025年4月1日</w:t>
      </w:r>
    </w:p>
    <w:p w14:paraId="2CA92B4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2BF4EB1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spacing w:val="0"/>
          <w:kern w:val="21"/>
          <w:sz w:val="32"/>
          <w:szCs w:val="32"/>
          <w:highlight w:val="none"/>
          <w:lang w:val="en-US" w:eastAsia="zh-CN"/>
        </w:rPr>
      </w:pPr>
      <w:r>
        <w:rPr>
          <w:rFonts w:hint="eastAsia" w:ascii="Times New Roman" w:hAnsi="Times New Roman" w:eastAsia="仿宋_GB2312" w:cs="Times New Roman"/>
          <w:b w:val="0"/>
          <w:bCs/>
          <w:spacing w:val="0"/>
          <w:kern w:val="21"/>
          <w:sz w:val="32"/>
          <w:szCs w:val="32"/>
          <w:highlight w:val="none"/>
          <w:lang w:val="en-US" w:eastAsia="zh-CN"/>
        </w:rPr>
        <w:t>（联系人：谈先生；联系电话：0833-3711911。）</w:t>
      </w:r>
    </w:p>
    <w:p w14:paraId="20C68F2B">
      <w:pPr>
        <w:rPr>
          <w:rFonts w:hint="default"/>
          <w:sz w:val="32"/>
          <w:szCs w:val="32"/>
          <w:lang w:val="en-US" w:eastAsia="zh-CN"/>
        </w:rPr>
      </w:pPr>
    </w:p>
    <w:p w14:paraId="3A1CBFB1">
      <w:pPr>
        <w:rPr>
          <w:rFonts w:hint="default"/>
          <w:sz w:val="32"/>
          <w:szCs w:val="32"/>
          <w:lang w:val="en-US" w:eastAsia="zh-CN"/>
        </w:rPr>
      </w:pPr>
    </w:p>
    <w:p w14:paraId="42808FD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sz w:val="32"/>
          <w:szCs w:val="32"/>
          <w:lang w:val="en-US" w:eastAsia="zh-CN"/>
        </w:rPr>
      </w:pPr>
    </w:p>
    <w:p w14:paraId="4901B9E5">
      <w:pPr>
        <w:pStyle w:val="31"/>
        <w:spacing w:line="600" w:lineRule="exact"/>
        <w:jc w:val="both"/>
        <w:rPr>
          <w:rFonts w:hint="eastAsia" w:asciiTheme="minorHAnsi" w:hAnsiTheme="minorHAnsi" w:eastAsiaTheme="minorEastAsia" w:cstheme="minorBidi"/>
          <w:b w:val="0"/>
          <w:kern w:val="2"/>
          <w:sz w:val="32"/>
          <w:szCs w:val="32"/>
          <w:lang w:val="en-US" w:eastAsia="zh-CN" w:bidi="ar-SA"/>
        </w:rPr>
      </w:pPr>
    </w:p>
    <w:p w14:paraId="509A6EB6">
      <w:pPr>
        <w:spacing w:line="580" w:lineRule="exact"/>
        <w:outlineLvl w:val="0"/>
        <w:rPr>
          <w:rFonts w:hint="default" w:ascii="Times New Roman" w:hAnsi="Times New Roman" w:eastAsia="黑体" w:cs="Times New Roman"/>
          <w:sz w:val="32"/>
          <w:szCs w:val="32"/>
        </w:rPr>
      </w:pPr>
    </w:p>
    <w:p w14:paraId="6009049C">
      <w:pPr>
        <w:spacing w:line="580" w:lineRule="exact"/>
        <w:outlineLvl w:val="0"/>
        <w:rPr>
          <w:rFonts w:hint="default" w:ascii="Times New Roman" w:hAnsi="Times New Roman" w:eastAsia="黑体" w:cs="Times New Roman"/>
          <w:sz w:val="32"/>
          <w:szCs w:val="32"/>
        </w:rPr>
      </w:pPr>
    </w:p>
    <w:p w14:paraId="2D4BE1CD">
      <w:pPr>
        <w:spacing w:line="580" w:lineRule="exact"/>
        <w:outlineLvl w:val="0"/>
        <w:rPr>
          <w:rFonts w:hint="default" w:ascii="Times New Roman" w:hAnsi="Times New Roman" w:eastAsia="黑体" w:cs="Times New Roman"/>
          <w:sz w:val="32"/>
          <w:szCs w:val="32"/>
        </w:rPr>
      </w:pPr>
    </w:p>
    <w:p w14:paraId="238E08B2">
      <w:pPr>
        <w:spacing w:line="580" w:lineRule="exact"/>
        <w:outlineLvl w:val="0"/>
        <w:rPr>
          <w:rFonts w:hint="default" w:ascii="Times New Roman" w:hAnsi="Times New Roman" w:eastAsia="黑体" w:cs="Times New Roman"/>
          <w:sz w:val="32"/>
          <w:szCs w:val="32"/>
        </w:rPr>
      </w:pPr>
    </w:p>
    <w:p w14:paraId="40C6FD2F">
      <w:pPr>
        <w:spacing w:line="580" w:lineRule="exact"/>
        <w:outlineLvl w:val="0"/>
        <w:rPr>
          <w:rFonts w:hint="default" w:ascii="Times New Roman" w:hAnsi="Times New Roman" w:eastAsia="黑体" w:cs="Times New Roman"/>
          <w:sz w:val="32"/>
          <w:szCs w:val="32"/>
        </w:rPr>
      </w:pPr>
    </w:p>
    <w:p w14:paraId="5878B4EA">
      <w:pPr>
        <w:spacing w:line="580" w:lineRule="exact"/>
        <w:outlineLvl w:val="0"/>
        <w:rPr>
          <w:rFonts w:hint="eastAsia" w:ascii="黑体" w:hAnsi="黑体" w:eastAsia="黑体" w:cs="黑体"/>
          <w:b w:val="0"/>
          <w:bCs/>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14:paraId="5177204B">
      <w:pPr>
        <w:pStyle w:val="41"/>
        <w:bidi w:val="0"/>
        <w:rPr>
          <w:rFonts w:hint="default"/>
          <w:lang w:eastAsia="zh-CN"/>
        </w:rPr>
      </w:pPr>
      <w:r>
        <w:rPr>
          <w:rFonts w:hint="eastAsia"/>
          <w:lang w:val="en-US" w:eastAsia="zh-CN"/>
        </w:rPr>
        <w:t>2024年</w:t>
      </w:r>
      <w:r>
        <w:rPr>
          <w:rFonts w:hint="default"/>
        </w:rPr>
        <w:t>井研县农业社会化服务项目</w:t>
      </w:r>
      <w:r>
        <w:rPr>
          <w:rFonts w:hint="default"/>
          <w:lang w:eastAsia="zh-CN"/>
        </w:rPr>
        <w:t>组织</w:t>
      </w:r>
    </w:p>
    <w:p w14:paraId="614D256D">
      <w:pPr>
        <w:pStyle w:val="41"/>
        <w:bidi w:val="0"/>
        <w:rPr>
          <w:rFonts w:hint="default"/>
        </w:rPr>
      </w:pPr>
      <w:r>
        <w:rPr>
          <w:rFonts w:hint="default"/>
        </w:rPr>
        <w:t>实施方案</w:t>
      </w:r>
    </w:p>
    <w:p w14:paraId="621D9A49">
      <w:pPr>
        <w:pStyle w:val="37"/>
        <w:keepNext w:val="0"/>
        <w:keepLines w:val="0"/>
        <w:pageBreakBefore w:val="0"/>
        <w:kinsoku/>
        <w:wordWrap/>
        <w:overflowPunct/>
        <w:topLinePunct w:val="0"/>
        <w:autoSpaceDE/>
        <w:autoSpaceDN/>
        <w:bidi w:val="0"/>
        <w:adjustRightInd/>
        <w:snapToGrid w:val="0"/>
        <w:spacing w:line="600" w:lineRule="exact"/>
        <w:ind w:firstLine="640"/>
        <w:textAlignment w:val="auto"/>
        <w:rPr>
          <w:rFonts w:hint="default" w:ascii="Times New Roman" w:hAnsi="Times New Roman" w:eastAsia="仿宋_GB2312" w:cs="Times New Roman"/>
          <w:spacing w:val="4"/>
          <w:kern w:val="0"/>
          <w:sz w:val="32"/>
          <w:szCs w:val="32"/>
        </w:rPr>
      </w:pPr>
    </w:p>
    <w:p w14:paraId="2CD7B8E8">
      <w:pPr>
        <w:pStyle w:val="40"/>
        <w:bidi w:val="0"/>
        <w:rPr>
          <w:rFonts w:hint="default"/>
          <w:lang w:eastAsia="zh-CN"/>
        </w:rPr>
      </w:pPr>
      <w:r>
        <w:rPr>
          <w:rFonts w:hint="default"/>
        </w:rPr>
        <w:t>根据《四川省农业农村厅</w:t>
      </w:r>
      <w:r>
        <w:rPr>
          <w:rFonts w:hint="eastAsia"/>
          <w:lang w:eastAsia="zh-CN"/>
        </w:rPr>
        <w:t>、</w:t>
      </w:r>
      <w:r>
        <w:rPr>
          <w:rFonts w:hint="default"/>
        </w:rPr>
        <w:t>四川省供销合作社联合社关于加快推动2024年中央财政农业社会化服务项目实施的通知</w:t>
      </w:r>
      <w:r>
        <w:rPr>
          <w:rFonts w:hint="eastAsia"/>
          <w:lang w:eastAsia="zh-CN"/>
        </w:rPr>
        <w:t>》</w:t>
      </w:r>
      <w:r>
        <w:rPr>
          <w:rFonts w:hint="default"/>
        </w:rPr>
        <w:t>（川农</w:t>
      </w:r>
      <w:r>
        <w:rPr>
          <w:rFonts w:hint="default"/>
          <w:lang w:eastAsia="zh-CN"/>
        </w:rPr>
        <w:t>函</w:t>
      </w:r>
      <w:r>
        <w:rPr>
          <w:rFonts w:hint="default"/>
        </w:rPr>
        <w:t>〔202</w:t>
      </w:r>
      <w:r>
        <w:rPr>
          <w:rFonts w:hint="eastAsia"/>
          <w:lang w:val="en-US" w:eastAsia="zh-CN"/>
        </w:rPr>
        <w:t>4</w:t>
      </w:r>
      <w:r>
        <w:rPr>
          <w:rFonts w:hint="default"/>
        </w:rPr>
        <w:t>〕</w:t>
      </w:r>
      <w:r>
        <w:rPr>
          <w:rFonts w:hint="eastAsia"/>
          <w:lang w:val="en-US" w:eastAsia="zh-CN"/>
        </w:rPr>
        <w:t>216</w:t>
      </w:r>
      <w:r>
        <w:rPr>
          <w:rFonts w:hint="default"/>
        </w:rPr>
        <w:t>号）</w:t>
      </w:r>
      <w:r>
        <w:rPr>
          <w:rFonts w:hint="default"/>
          <w:lang w:val="en-US" w:eastAsia="zh-CN"/>
        </w:rPr>
        <w:t>和</w:t>
      </w:r>
      <w:r>
        <w:rPr>
          <w:rFonts w:hint="default"/>
          <w:lang w:eastAsia="zh-CN"/>
        </w:rPr>
        <w:t>《</w:t>
      </w:r>
      <w:r>
        <w:rPr>
          <w:rFonts w:hint="default"/>
        </w:rPr>
        <w:t>四川省财政厅</w:t>
      </w:r>
      <w:r>
        <w:rPr>
          <w:rFonts w:hint="eastAsia"/>
          <w:lang w:eastAsia="zh-CN"/>
        </w:rPr>
        <w:t>、</w:t>
      </w:r>
      <w:r>
        <w:rPr>
          <w:rFonts w:hint="default"/>
        </w:rPr>
        <w:t>四川省农业农村厅关于下达202</w:t>
      </w:r>
      <w:r>
        <w:rPr>
          <w:rFonts w:hint="eastAsia"/>
          <w:lang w:val="en-US" w:eastAsia="zh-CN"/>
        </w:rPr>
        <w:t>4</w:t>
      </w:r>
      <w:r>
        <w:rPr>
          <w:rFonts w:hint="default"/>
        </w:rPr>
        <w:t>年中央财政</w:t>
      </w:r>
      <w:r>
        <w:rPr>
          <w:rFonts w:hint="eastAsia"/>
          <w:lang w:val="en-US" w:eastAsia="zh-CN"/>
        </w:rPr>
        <w:t>粮油生产保障等六项农业转移支付资金的通知</w:t>
      </w:r>
      <w:r>
        <w:rPr>
          <w:rFonts w:hint="default"/>
          <w:lang w:eastAsia="zh-CN"/>
        </w:rPr>
        <w:t>》（川财农〔202</w:t>
      </w:r>
      <w:r>
        <w:rPr>
          <w:rFonts w:hint="eastAsia"/>
          <w:lang w:val="en-US" w:eastAsia="zh-CN"/>
        </w:rPr>
        <w:t>4</w:t>
      </w:r>
      <w:r>
        <w:rPr>
          <w:rFonts w:hint="default"/>
          <w:lang w:eastAsia="zh-CN"/>
        </w:rPr>
        <w:t>〕</w:t>
      </w:r>
      <w:r>
        <w:rPr>
          <w:rFonts w:hint="eastAsia"/>
          <w:lang w:val="en-US" w:eastAsia="zh-CN"/>
        </w:rPr>
        <w:t>48</w:t>
      </w:r>
      <w:r>
        <w:rPr>
          <w:rFonts w:hint="default"/>
          <w:lang w:eastAsia="zh-CN"/>
        </w:rPr>
        <w:t>号）精神，结合我县实际，</w:t>
      </w:r>
      <w:r>
        <w:rPr>
          <w:rFonts w:hint="default"/>
        </w:rPr>
        <w:t>特编制《202</w:t>
      </w:r>
      <w:r>
        <w:rPr>
          <w:rFonts w:hint="eastAsia"/>
          <w:lang w:val="en-US" w:eastAsia="zh-CN"/>
        </w:rPr>
        <w:t>4</w:t>
      </w:r>
      <w:r>
        <w:rPr>
          <w:rFonts w:hint="default"/>
        </w:rPr>
        <w:t>年井研县农业社会化服务项目组织实施方案》如下</w:t>
      </w:r>
      <w:r>
        <w:rPr>
          <w:rFonts w:hint="default"/>
          <w:lang w:eastAsia="zh-CN"/>
        </w:rPr>
        <w:t>。</w:t>
      </w:r>
    </w:p>
    <w:p w14:paraId="55A7DEE8">
      <w:pPr>
        <w:pStyle w:val="42"/>
        <w:bidi w:val="0"/>
        <w:rPr>
          <w:rFonts w:hint="default"/>
        </w:rPr>
      </w:pPr>
      <w:r>
        <w:rPr>
          <w:rFonts w:hint="default"/>
        </w:rPr>
        <w:t>一、农业农村发展基本情况</w:t>
      </w:r>
    </w:p>
    <w:p w14:paraId="1071FDDE">
      <w:pPr>
        <w:pStyle w:val="40"/>
        <w:bidi w:val="0"/>
        <w:rPr>
          <w:rFonts w:hint="default"/>
        </w:rPr>
      </w:pPr>
      <w:r>
        <w:rPr>
          <w:rFonts w:hint="default"/>
        </w:rPr>
        <w:t>井研县属典型的丘区农业县，是全国产粮大县、生猪调出大县、全国柑橘产业30强县。全县</w:t>
      </w:r>
      <w:r>
        <w:rPr>
          <w:rFonts w:hint="eastAsia"/>
          <w:lang w:val="en-US" w:eastAsia="zh-CN"/>
        </w:rPr>
        <w:t>承包地</w:t>
      </w:r>
      <w:r>
        <w:rPr>
          <w:rFonts w:hint="default"/>
        </w:rPr>
        <w:t>面积</w:t>
      </w:r>
      <w:r>
        <w:rPr>
          <w:rFonts w:hint="eastAsia"/>
          <w:lang w:val="en-US" w:eastAsia="zh-CN"/>
        </w:rPr>
        <w:t>54.5</w:t>
      </w:r>
      <w:r>
        <w:rPr>
          <w:rFonts w:hint="default"/>
        </w:rPr>
        <w:t>万亩，农户10.</w:t>
      </w:r>
      <w:r>
        <w:rPr>
          <w:rFonts w:hint="eastAsia"/>
          <w:lang w:val="en-US" w:eastAsia="zh-CN"/>
        </w:rPr>
        <w:t>4</w:t>
      </w:r>
      <w:r>
        <w:rPr>
          <w:rFonts w:hint="default"/>
        </w:rPr>
        <w:t>万户，户均承包地5.</w:t>
      </w:r>
      <w:r>
        <w:rPr>
          <w:rFonts w:hint="eastAsia"/>
          <w:lang w:val="en-US" w:eastAsia="zh-CN"/>
        </w:rPr>
        <w:t>2</w:t>
      </w:r>
      <w:r>
        <w:rPr>
          <w:rFonts w:hint="default"/>
        </w:rPr>
        <w:t>亩，主导产业为粮油、柑橘、生猪、水产。202</w:t>
      </w:r>
      <w:r>
        <w:rPr>
          <w:rFonts w:hint="eastAsia"/>
          <w:lang w:val="en-US" w:eastAsia="zh-CN"/>
        </w:rPr>
        <w:t>3</w:t>
      </w:r>
      <w:r>
        <w:rPr>
          <w:rFonts w:hint="default"/>
          <w:lang w:val="en-US" w:eastAsia="zh-CN"/>
        </w:rPr>
        <w:t>全县粮食作物播面67.49万亩，粮食总产量达24.77万吨</w:t>
      </w:r>
      <w:r>
        <w:rPr>
          <w:rFonts w:hint="default"/>
        </w:rPr>
        <w:t>。为破解农村</w:t>
      </w:r>
      <w:r>
        <w:rPr>
          <w:rFonts w:hint="eastAsia"/>
          <w:lang w:eastAsia="zh-CN"/>
        </w:rPr>
        <w:t>“</w:t>
      </w:r>
      <w:r>
        <w:rPr>
          <w:rFonts w:hint="default"/>
        </w:rPr>
        <w:t>谁来种地</w:t>
      </w:r>
      <w:r>
        <w:rPr>
          <w:rFonts w:hint="eastAsia"/>
          <w:lang w:eastAsia="zh-CN"/>
        </w:rPr>
        <w:t>”“</w:t>
      </w:r>
      <w:r>
        <w:rPr>
          <w:rFonts w:hint="default"/>
        </w:rPr>
        <w:t>谁来经营</w:t>
      </w:r>
      <w:r>
        <w:rPr>
          <w:rFonts w:hint="eastAsia"/>
          <w:lang w:eastAsia="zh-CN"/>
        </w:rPr>
        <w:t>”</w:t>
      </w:r>
      <w:r>
        <w:rPr>
          <w:rFonts w:hint="default"/>
        </w:rPr>
        <w:t>的现实困境，一方面，强力推动农村承包土地</w:t>
      </w:r>
      <w:r>
        <w:rPr>
          <w:rFonts w:hint="eastAsia"/>
          <w:lang w:eastAsia="zh-CN"/>
        </w:rPr>
        <w:t>“</w:t>
      </w:r>
      <w:r>
        <w:rPr>
          <w:rFonts w:hint="default"/>
        </w:rPr>
        <w:t>三权分置</w:t>
      </w:r>
      <w:r>
        <w:rPr>
          <w:rFonts w:hint="eastAsia"/>
          <w:lang w:eastAsia="zh-CN"/>
        </w:rPr>
        <w:t>”</w:t>
      </w:r>
      <w:r>
        <w:rPr>
          <w:rFonts w:hint="default"/>
        </w:rPr>
        <w:t>，发展适度规模经营。另一方面，通过不断完善农业生产社会化服务体系，大力发展服务带动型规模经营，引领小农户步入现代农业发展轨道。历年来，县委</w:t>
      </w:r>
      <w:r>
        <w:rPr>
          <w:rFonts w:hint="default"/>
          <w:lang w:eastAsia="zh-CN"/>
        </w:rPr>
        <w:t>、</w:t>
      </w:r>
      <w:r>
        <w:rPr>
          <w:rFonts w:hint="default"/>
        </w:rPr>
        <w:t>县政府把农业农村工作</w:t>
      </w:r>
      <w:r>
        <w:rPr>
          <w:rFonts w:hint="eastAsia"/>
          <w:lang w:val="en-US" w:eastAsia="zh-CN"/>
        </w:rPr>
        <w:t>列入</w:t>
      </w:r>
      <w:r>
        <w:rPr>
          <w:rFonts w:hint="default"/>
        </w:rPr>
        <w:t>重要议事日程，将农业农村优先发展落地落实，立足完善扶持政策，加快服务主体培育，县域内已培育一批管理规范、经济实力较强、经营效益良好、服务功能健全、规模大的服务主体。进入县农业社会化服务组织名录库的服务主体达到44家，特别是通过社会化服务项目的支持，我县社会化服务工作获得了长足发展，服务主体服务能力和服务水平大幅提升，</w:t>
      </w:r>
      <w:r>
        <w:rPr>
          <w:rFonts w:hint="default"/>
          <w:lang w:eastAsia="zh-CN"/>
        </w:rPr>
        <w:t>年</w:t>
      </w:r>
      <w:r>
        <w:rPr>
          <w:rFonts w:hint="default"/>
        </w:rPr>
        <w:t>服务能力达60万亩次以上。</w:t>
      </w:r>
    </w:p>
    <w:p w14:paraId="0F03A108">
      <w:pPr>
        <w:pStyle w:val="42"/>
        <w:bidi w:val="0"/>
        <w:rPr>
          <w:rFonts w:hint="default"/>
        </w:rPr>
      </w:pPr>
      <w:r>
        <w:rPr>
          <w:rFonts w:hint="eastAsia"/>
          <w:lang w:eastAsia="zh-CN"/>
        </w:rPr>
        <w:t>二、</w:t>
      </w:r>
      <w:r>
        <w:rPr>
          <w:rFonts w:hint="default"/>
        </w:rPr>
        <w:t>项目</w:t>
      </w:r>
      <w:r>
        <w:rPr>
          <w:rFonts w:hint="eastAsia"/>
          <w:lang w:val="en-US" w:eastAsia="zh-CN"/>
        </w:rPr>
        <w:t>总体原则</w:t>
      </w:r>
    </w:p>
    <w:p w14:paraId="1ACA575C">
      <w:pPr>
        <w:pStyle w:val="40"/>
        <w:bidi w:val="0"/>
        <w:rPr>
          <w:rFonts w:hint="default"/>
        </w:rPr>
      </w:pPr>
      <w:r>
        <w:rPr>
          <w:rFonts w:hint="default"/>
          <w:lang w:val="en-US" w:eastAsia="zh-CN"/>
        </w:rPr>
        <w:t>坚持把小农户作为项目服务的主要对象，让小农户成为适度规模经营的积极参与者和真正受益者。服务小农户农业社会化服务的补助资金或面积，占比</w:t>
      </w:r>
      <w:r>
        <w:rPr>
          <w:rFonts w:hint="default"/>
        </w:rPr>
        <w:t>不低于60%</w:t>
      </w:r>
      <w:r>
        <w:rPr>
          <w:rFonts w:hint="eastAsia"/>
          <w:lang w:eastAsia="zh-CN"/>
        </w:rPr>
        <w:t>（小农户指耕地面积小于</w:t>
      </w:r>
      <w:r>
        <w:rPr>
          <w:rFonts w:hint="eastAsia"/>
          <w:lang w:val="en-US" w:eastAsia="zh-CN"/>
        </w:rPr>
        <w:t>50亩的服务对象</w:t>
      </w:r>
      <w:r>
        <w:rPr>
          <w:rFonts w:hint="eastAsia"/>
          <w:lang w:eastAsia="zh-CN"/>
        </w:rPr>
        <w:t>）</w:t>
      </w:r>
      <w:r>
        <w:rPr>
          <w:rFonts w:hint="default"/>
          <w:lang w:val="en-US" w:eastAsia="zh-CN"/>
        </w:rPr>
        <w:t>。通过项目实施，</w:t>
      </w:r>
      <w:r>
        <w:rPr>
          <w:rFonts w:hint="default"/>
        </w:rPr>
        <w:t>开展农业生产耕种防收全托管、半托管服务，提升农业生产机械化、规模化、集约化水平，促进农业节本增效，带动农民持续稳定增收</w:t>
      </w:r>
      <w:r>
        <w:rPr>
          <w:rFonts w:hint="default"/>
          <w:lang w:eastAsia="zh-CN"/>
        </w:rPr>
        <w:t>。</w:t>
      </w:r>
    </w:p>
    <w:p w14:paraId="55D3BD5F">
      <w:pPr>
        <w:pStyle w:val="42"/>
        <w:bidi w:val="0"/>
        <w:rPr>
          <w:rFonts w:hint="default"/>
        </w:rPr>
      </w:pPr>
      <w:r>
        <w:rPr>
          <w:rFonts w:hint="eastAsia"/>
          <w:lang w:eastAsia="zh-CN"/>
        </w:rPr>
        <w:t>三、</w:t>
      </w:r>
      <w:r>
        <w:rPr>
          <w:rFonts w:hint="default"/>
        </w:rPr>
        <w:t>项目实施内容</w:t>
      </w:r>
    </w:p>
    <w:p w14:paraId="6B2D3918">
      <w:pPr>
        <w:pStyle w:val="40"/>
        <w:bidi w:val="0"/>
        <w:rPr>
          <w:rFonts w:hint="default"/>
        </w:rPr>
      </w:pPr>
      <w:r>
        <w:rPr>
          <w:rFonts w:hint="default"/>
        </w:rPr>
        <w:t>省上下达我县202</w:t>
      </w:r>
      <w:r>
        <w:rPr>
          <w:rFonts w:hint="eastAsia"/>
          <w:lang w:val="en-US" w:eastAsia="zh-CN"/>
        </w:rPr>
        <w:t>4</w:t>
      </w:r>
      <w:r>
        <w:rPr>
          <w:rFonts w:hint="default"/>
        </w:rPr>
        <w:t>年农业生产社会化服务项目补助资金</w:t>
      </w:r>
      <w:r>
        <w:rPr>
          <w:rFonts w:hint="eastAsia"/>
          <w:lang w:val="en-US" w:eastAsia="zh-CN"/>
        </w:rPr>
        <w:t>230</w:t>
      </w:r>
      <w:r>
        <w:rPr>
          <w:rFonts w:hint="default"/>
        </w:rPr>
        <w:t>万元，完成农业生产托管服务面积不低于</w:t>
      </w:r>
      <w:r>
        <w:rPr>
          <w:rFonts w:hint="eastAsia"/>
          <w:lang w:val="en-US" w:eastAsia="zh-CN"/>
        </w:rPr>
        <w:t>2.52</w:t>
      </w:r>
      <w:r>
        <w:rPr>
          <w:rFonts w:hint="default"/>
        </w:rPr>
        <w:t>万亩</w:t>
      </w:r>
      <w:r>
        <w:rPr>
          <w:rFonts w:hint="default"/>
          <w:lang w:eastAsia="zh-CN"/>
        </w:rPr>
        <w:t>。</w:t>
      </w:r>
      <w:r>
        <w:rPr>
          <w:rFonts w:hint="default"/>
        </w:rPr>
        <w:t>其中：县农业农村局</w:t>
      </w:r>
      <w:r>
        <w:rPr>
          <w:rFonts w:hint="default"/>
          <w:lang w:eastAsia="zh-CN"/>
        </w:rPr>
        <w:t>承接</w:t>
      </w:r>
      <w:r>
        <w:rPr>
          <w:rFonts w:hint="default"/>
        </w:rPr>
        <w:t>项目补助资金</w:t>
      </w:r>
      <w:r>
        <w:rPr>
          <w:rFonts w:hint="eastAsia"/>
          <w:lang w:val="en-US" w:eastAsia="zh-CN"/>
        </w:rPr>
        <w:t>150</w:t>
      </w:r>
      <w:r>
        <w:rPr>
          <w:rFonts w:hint="default"/>
        </w:rPr>
        <w:t>万元，完成农业生产托管服务面积</w:t>
      </w:r>
      <w:r>
        <w:rPr>
          <w:rFonts w:hint="eastAsia"/>
          <w:lang w:val="en-US" w:eastAsia="zh-CN"/>
        </w:rPr>
        <w:t>1.64</w:t>
      </w:r>
      <w:r>
        <w:rPr>
          <w:rFonts w:hint="default"/>
        </w:rPr>
        <w:t>万亩；县供销社</w:t>
      </w:r>
      <w:r>
        <w:rPr>
          <w:rFonts w:hint="default"/>
          <w:lang w:eastAsia="zh-CN"/>
        </w:rPr>
        <w:t>承接</w:t>
      </w:r>
      <w:r>
        <w:rPr>
          <w:rFonts w:hint="default"/>
        </w:rPr>
        <w:t>项目补助资金</w:t>
      </w:r>
      <w:r>
        <w:rPr>
          <w:rFonts w:hint="eastAsia"/>
          <w:lang w:val="en-US" w:eastAsia="zh-CN"/>
        </w:rPr>
        <w:t>80</w:t>
      </w:r>
      <w:r>
        <w:rPr>
          <w:rFonts w:hint="default"/>
        </w:rPr>
        <w:t>万元，完成农业生产托管服务面积</w:t>
      </w:r>
      <w:r>
        <w:rPr>
          <w:rFonts w:hint="eastAsia"/>
          <w:lang w:val="en-US" w:eastAsia="zh-CN"/>
        </w:rPr>
        <w:t>0.88</w:t>
      </w:r>
      <w:r>
        <w:rPr>
          <w:rFonts w:hint="default"/>
        </w:rPr>
        <w:t>万亩。</w:t>
      </w:r>
    </w:p>
    <w:p w14:paraId="481A332B">
      <w:pPr>
        <w:pStyle w:val="43"/>
        <w:bidi w:val="0"/>
        <w:rPr>
          <w:rFonts w:hint="default"/>
        </w:rPr>
      </w:pPr>
      <w:r>
        <w:rPr>
          <w:rFonts w:hint="default"/>
          <w:lang w:eastAsia="zh-CN"/>
        </w:rPr>
        <w:t>（</w:t>
      </w:r>
      <w:r>
        <w:rPr>
          <w:rFonts w:hint="default"/>
          <w:lang w:val="en-US" w:eastAsia="zh-CN"/>
        </w:rPr>
        <w:t>一</w:t>
      </w:r>
      <w:r>
        <w:rPr>
          <w:rFonts w:hint="default"/>
          <w:lang w:eastAsia="zh-CN"/>
        </w:rPr>
        <w:t>）</w:t>
      </w:r>
      <w:r>
        <w:rPr>
          <w:rFonts w:hint="default"/>
        </w:rPr>
        <w:t>服务品种</w:t>
      </w:r>
    </w:p>
    <w:p w14:paraId="1242F75A">
      <w:pPr>
        <w:pStyle w:val="40"/>
        <w:bidi w:val="0"/>
        <w:rPr>
          <w:rFonts w:hint="default"/>
          <w:lang w:val="en-US" w:eastAsia="zh-CN"/>
        </w:rPr>
      </w:pPr>
      <w:r>
        <w:rPr>
          <w:rFonts w:hint="default"/>
          <w:lang w:val="en-US" w:eastAsia="zh-CN"/>
        </w:rPr>
        <w:t>项目围绕</w:t>
      </w:r>
      <w:r>
        <w:rPr>
          <w:rFonts w:hint="default"/>
          <w:lang w:eastAsia="zh-CN"/>
        </w:rPr>
        <w:t>粮食</w:t>
      </w:r>
      <w:r>
        <w:rPr>
          <w:rFonts w:hint="eastAsia"/>
          <w:lang w:eastAsia="zh-CN"/>
        </w:rPr>
        <w:t>、</w:t>
      </w:r>
      <w:r>
        <w:rPr>
          <w:rFonts w:hint="default"/>
          <w:lang w:eastAsia="zh-CN"/>
        </w:rPr>
        <w:t>油料等重要农产品生产</w:t>
      </w:r>
      <w:r>
        <w:rPr>
          <w:rFonts w:hint="default"/>
          <w:lang w:val="en-US" w:eastAsia="zh-CN"/>
        </w:rPr>
        <w:t>，项目</w:t>
      </w:r>
      <w:r>
        <w:rPr>
          <w:rFonts w:hint="default"/>
          <w:lang w:eastAsia="zh-CN"/>
        </w:rPr>
        <w:t>支持推广</w:t>
      </w:r>
      <w:r>
        <w:rPr>
          <w:rFonts w:hint="default"/>
        </w:rPr>
        <w:t>玉米、大豆单产提升</w:t>
      </w:r>
      <w:r>
        <w:rPr>
          <w:rFonts w:hint="eastAsia"/>
          <w:lang w:eastAsia="zh-CN"/>
        </w:rPr>
        <w:t>，</w:t>
      </w:r>
      <w:r>
        <w:rPr>
          <w:rFonts w:hint="default"/>
          <w:lang w:val="en-US" w:eastAsia="zh-CN"/>
        </w:rPr>
        <w:t>促进粮油生产扩面增量。</w:t>
      </w:r>
    </w:p>
    <w:p w14:paraId="582B0B49">
      <w:pPr>
        <w:pStyle w:val="43"/>
        <w:bidi w:val="0"/>
        <w:rPr>
          <w:rFonts w:hint="default"/>
        </w:rPr>
      </w:pPr>
      <w:r>
        <w:rPr>
          <w:rFonts w:hint="eastAsia"/>
          <w:lang w:eastAsia="zh-CN"/>
        </w:rPr>
        <w:t>（二）</w:t>
      </w:r>
      <w:r>
        <w:rPr>
          <w:rFonts w:hint="default"/>
        </w:rPr>
        <w:t>实施区域</w:t>
      </w:r>
    </w:p>
    <w:p w14:paraId="7D115FB7">
      <w:pPr>
        <w:pStyle w:val="40"/>
        <w:bidi w:val="0"/>
        <w:rPr>
          <w:rFonts w:hint="default"/>
          <w:lang w:val="en-US" w:eastAsia="zh-CN"/>
        </w:rPr>
      </w:pPr>
      <w:r>
        <w:rPr>
          <w:rFonts w:hint="eastAsia"/>
          <w:lang w:val="en-US" w:eastAsia="zh-CN"/>
        </w:rPr>
        <w:t>全县15个镇（街道），项目资金优先向2024年和美乡村建设任务的6个村（研城街道高坡村、马踏镇七盘山村、周坡镇乌抛村、竹园镇胜泉村、千佛镇新群村、宝五镇塘湾村）倾斜，项目资金比例不低于25%。</w:t>
      </w:r>
    </w:p>
    <w:p w14:paraId="7AAD51A4">
      <w:pPr>
        <w:pStyle w:val="43"/>
        <w:bidi w:val="0"/>
        <w:rPr>
          <w:rFonts w:hint="default"/>
        </w:rPr>
      </w:pPr>
      <w:r>
        <w:rPr>
          <w:rFonts w:hint="default"/>
          <w:lang w:eastAsia="zh-CN"/>
        </w:rPr>
        <w:t>（</w:t>
      </w:r>
      <w:r>
        <w:rPr>
          <w:rFonts w:hint="default"/>
          <w:lang w:val="en-US" w:eastAsia="zh-CN"/>
        </w:rPr>
        <w:t>三</w:t>
      </w:r>
      <w:r>
        <w:rPr>
          <w:rFonts w:hint="default"/>
          <w:lang w:eastAsia="zh-CN"/>
        </w:rPr>
        <w:t>）</w:t>
      </w:r>
      <w:r>
        <w:rPr>
          <w:rFonts w:hint="default"/>
        </w:rPr>
        <w:t>补助环节</w:t>
      </w:r>
    </w:p>
    <w:p w14:paraId="7FDC3167">
      <w:pPr>
        <w:pStyle w:val="40"/>
        <w:bidi w:val="0"/>
        <w:rPr>
          <w:rFonts w:hint="default"/>
        </w:rPr>
      </w:pPr>
      <w:r>
        <w:rPr>
          <w:rFonts w:hint="default"/>
        </w:rPr>
        <w:t>重点支持耕、种、防、收</w:t>
      </w:r>
      <w:r>
        <w:rPr>
          <w:rFonts w:hint="default"/>
          <w:lang w:eastAsia="zh-CN"/>
        </w:rPr>
        <w:t>生产过程中</w:t>
      </w:r>
      <w:r>
        <w:rPr>
          <w:rFonts w:hint="default"/>
        </w:rPr>
        <w:t>的深耕深松、集中育秧、插秧、统防统治、机收等农业生产环节全托管、半托管</w:t>
      </w:r>
      <w:r>
        <w:rPr>
          <w:rFonts w:hint="default"/>
          <w:lang w:eastAsia="zh-CN"/>
        </w:rPr>
        <w:t>服务</w:t>
      </w:r>
      <w:r>
        <w:rPr>
          <w:rFonts w:hint="default"/>
        </w:rPr>
        <w:t>，集中连片开展社会化服务，带动规模化经营，引领农业生产机械化、标准化、规模化、集约化绿色高效发展。</w:t>
      </w:r>
    </w:p>
    <w:p w14:paraId="521303E3">
      <w:pPr>
        <w:pStyle w:val="43"/>
        <w:bidi w:val="0"/>
        <w:rPr>
          <w:rFonts w:hint="default"/>
          <w:lang w:val="en-US" w:eastAsia="zh-CN"/>
        </w:rPr>
      </w:pPr>
      <w:r>
        <w:rPr>
          <w:rFonts w:hint="default"/>
        </w:rPr>
        <w:t>（四）补助</w:t>
      </w:r>
      <w:r>
        <w:rPr>
          <w:rFonts w:hint="eastAsia"/>
          <w:lang w:val="en-US" w:eastAsia="zh-CN"/>
        </w:rPr>
        <w:t>方式</w:t>
      </w:r>
    </w:p>
    <w:p w14:paraId="47E0E712">
      <w:pPr>
        <w:pStyle w:val="40"/>
        <w:bidi w:val="0"/>
        <w:rPr>
          <w:rFonts w:hint="default"/>
          <w:lang w:val="en-US"/>
        </w:rPr>
      </w:pPr>
      <w:r>
        <w:rPr>
          <w:rFonts w:hint="eastAsia"/>
          <w:lang w:val="en-US" w:eastAsia="zh-CN"/>
        </w:rPr>
        <w:t>面向小农户服务补助资金按照服务对象</w:t>
      </w:r>
      <w:r>
        <w:rPr>
          <w:rFonts w:hint="default"/>
          <w:lang w:val="en-US" w:eastAsia="zh-CN"/>
        </w:rPr>
        <w:t>和服务主体两边都补，</w:t>
      </w:r>
      <w:r>
        <w:rPr>
          <w:rFonts w:hint="eastAsia"/>
          <w:lang w:val="en-US" w:eastAsia="zh-CN"/>
        </w:rPr>
        <w:t>小</w:t>
      </w:r>
      <w:r>
        <w:rPr>
          <w:rFonts w:hint="default"/>
          <w:lang w:val="en-US" w:eastAsia="zh-CN"/>
        </w:rPr>
        <w:t>农户</w:t>
      </w:r>
      <w:r>
        <w:rPr>
          <w:rFonts w:hint="eastAsia"/>
          <w:lang w:val="en-US" w:eastAsia="zh-CN"/>
        </w:rPr>
        <w:t>和服务主体</w:t>
      </w:r>
      <w:r>
        <w:rPr>
          <w:rFonts w:hint="default"/>
          <w:lang w:val="en-US" w:eastAsia="zh-CN"/>
        </w:rPr>
        <w:t>资金比例</w:t>
      </w:r>
      <w:r>
        <w:rPr>
          <w:rFonts w:hint="eastAsia"/>
          <w:lang w:val="en-US" w:eastAsia="zh-CN"/>
        </w:rPr>
        <w:t>各占</w:t>
      </w:r>
      <w:r>
        <w:rPr>
          <w:rFonts w:hint="default"/>
          <w:lang w:val="en-US" w:eastAsia="zh-CN"/>
        </w:rPr>
        <w:t>50%，</w:t>
      </w:r>
      <w:r>
        <w:rPr>
          <w:rFonts w:hint="default"/>
          <w:lang w:eastAsia="zh-CN"/>
        </w:rPr>
        <w:t>坚持让小农户最终受益</w:t>
      </w:r>
      <w:r>
        <w:rPr>
          <w:rFonts w:hint="eastAsia"/>
          <w:lang w:eastAsia="zh-CN"/>
        </w:rPr>
        <w:t>，</w:t>
      </w:r>
      <w:r>
        <w:rPr>
          <w:rFonts w:hint="eastAsia"/>
          <w:lang w:val="en-US" w:eastAsia="zh-CN"/>
        </w:rPr>
        <w:t>面向大户的服务补助资金补助服务主体。</w:t>
      </w:r>
    </w:p>
    <w:p w14:paraId="2B4D3DAD">
      <w:pPr>
        <w:pStyle w:val="43"/>
        <w:bidi w:val="0"/>
        <w:rPr>
          <w:rFonts w:hint="default"/>
        </w:rPr>
      </w:pPr>
      <w:r>
        <w:rPr>
          <w:rFonts w:hint="default"/>
        </w:rPr>
        <w:t>（五）补助内容</w:t>
      </w:r>
    </w:p>
    <w:p w14:paraId="02409D66">
      <w:pPr>
        <w:pStyle w:val="40"/>
        <w:bidi w:val="0"/>
        <w:rPr>
          <w:rFonts w:hint="default"/>
          <w:lang w:val="en-US" w:eastAsia="zh-CN"/>
        </w:rPr>
      </w:pPr>
      <w:r>
        <w:rPr>
          <w:rFonts w:hint="default"/>
        </w:rPr>
        <w:t>根据我县粮食生产发展、托管服务市场发育等实际，科学制定不同服务环节补助标准、实施时间等。原则上财政补助占服务价格的比例不超过40%</w:t>
      </w:r>
      <w:r>
        <w:rPr>
          <w:rFonts w:hint="default"/>
          <w:lang w:eastAsia="zh-CN"/>
        </w:rPr>
        <w:t>，</w:t>
      </w:r>
      <w:r>
        <w:rPr>
          <w:rFonts w:hint="default"/>
        </w:rPr>
        <w:t>单季作物亩均各关键环节补助总量不超过</w:t>
      </w:r>
      <w:r>
        <w:rPr>
          <w:rFonts w:hint="eastAsia"/>
          <w:lang w:val="en-US" w:eastAsia="zh-CN"/>
        </w:rPr>
        <w:t>91.28</w:t>
      </w:r>
      <w:r>
        <w:rPr>
          <w:rFonts w:hint="default"/>
        </w:rPr>
        <w:t>元</w:t>
      </w:r>
      <w:r>
        <w:rPr>
          <w:rFonts w:hint="default"/>
          <w:lang w:eastAsia="zh-CN"/>
        </w:rPr>
        <w:t>，</w:t>
      </w:r>
      <w:r>
        <w:rPr>
          <w:rFonts w:hint="default"/>
          <w:lang w:val="en-US" w:eastAsia="zh-CN"/>
        </w:rPr>
        <w:t>对接受服务的单个规模经营主体，</w:t>
      </w:r>
      <w:r>
        <w:rPr>
          <w:rFonts w:hint="eastAsia"/>
          <w:lang w:val="en-US" w:eastAsia="zh-CN"/>
        </w:rPr>
        <w:t>服务主体享受</w:t>
      </w:r>
      <w:r>
        <w:rPr>
          <w:rFonts w:hint="default"/>
          <w:lang w:val="en-US" w:eastAsia="zh-CN"/>
        </w:rPr>
        <w:t>补助资金上限为10万元。</w:t>
      </w:r>
    </w:p>
    <w:p w14:paraId="3243CC1E">
      <w:pPr>
        <w:pStyle w:val="41"/>
        <w:bidi w:val="0"/>
        <w:rPr>
          <w:rFonts w:hint="eastAsia"/>
          <w:sz w:val="30"/>
          <w:szCs w:val="30"/>
        </w:rPr>
      </w:pPr>
    </w:p>
    <w:p w14:paraId="5920E9E6">
      <w:pPr>
        <w:pStyle w:val="41"/>
        <w:bidi w:val="0"/>
        <w:rPr>
          <w:rFonts w:hint="eastAsia"/>
          <w:sz w:val="30"/>
          <w:szCs w:val="30"/>
        </w:rPr>
      </w:pPr>
    </w:p>
    <w:p w14:paraId="3D36CBB2">
      <w:pPr>
        <w:pStyle w:val="41"/>
        <w:bidi w:val="0"/>
        <w:rPr>
          <w:rFonts w:hint="default"/>
          <w:sz w:val="30"/>
          <w:szCs w:val="30"/>
          <w:lang w:val="en-US" w:eastAsia="zh-CN"/>
        </w:rPr>
      </w:pPr>
      <w:r>
        <w:rPr>
          <w:rFonts w:hint="eastAsia"/>
          <w:sz w:val="30"/>
          <w:szCs w:val="30"/>
        </w:rPr>
        <w:t>202</w:t>
      </w:r>
      <w:r>
        <w:rPr>
          <w:rFonts w:hint="eastAsia"/>
          <w:sz w:val="30"/>
          <w:szCs w:val="30"/>
          <w:lang w:val="en-US" w:eastAsia="zh-CN"/>
        </w:rPr>
        <w:t>4</w:t>
      </w:r>
      <w:r>
        <w:rPr>
          <w:rFonts w:hint="eastAsia"/>
          <w:sz w:val="30"/>
          <w:szCs w:val="30"/>
        </w:rPr>
        <w:t>年井研县农业社会化服务项目</w:t>
      </w:r>
      <w:r>
        <w:rPr>
          <w:rFonts w:hint="eastAsia"/>
          <w:sz w:val="30"/>
          <w:szCs w:val="30"/>
          <w:lang w:val="en-US" w:eastAsia="zh-CN"/>
        </w:rPr>
        <w:t>补助</w:t>
      </w:r>
      <w:r>
        <w:rPr>
          <w:rFonts w:hint="default"/>
          <w:sz w:val="30"/>
          <w:szCs w:val="30"/>
        </w:rPr>
        <w:t>内容</w:t>
      </w:r>
      <w:r>
        <w:rPr>
          <w:rFonts w:hint="eastAsia"/>
          <w:sz w:val="30"/>
          <w:szCs w:val="30"/>
          <w:lang w:val="en-US" w:eastAsia="zh-CN"/>
        </w:rPr>
        <w:t>明细表</w:t>
      </w:r>
    </w:p>
    <w:tbl>
      <w:tblPr>
        <w:tblStyle w:val="4"/>
        <w:tblpPr w:leftFromText="180" w:rightFromText="180" w:vertAnchor="text" w:horzAnchor="page" w:tblpXSpec="center" w:tblpY="576"/>
        <w:tblOverlap w:val="neve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1"/>
        <w:gridCol w:w="492"/>
        <w:gridCol w:w="496"/>
        <w:gridCol w:w="816"/>
        <w:gridCol w:w="720"/>
        <w:gridCol w:w="743"/>
        <w:gridCol w:w="862"/>
        <w:gridCol w:w="862"/>
        <w:gridCol w:w="640"/>
        <w:gridCol w:w="663"/>
        <w:gridCol w:w="521"/>
        <w:gridCol w:w="521"/>
        <w:gridCol w:w="916"/>
        <w:gridCol w:w="916"/>
        <w:gridCol w:w="846"/>
      </w:tblGrid>
      <w:tr w14:paraId="45408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441" w:type="dxa"/>
            <w:vMerge w:val="restart"/>
            <w:tcBorders>
              <w:top w:val="single" w:color="000000" w:sz="8" w:space="0"/>
              <w:left w:val="single" w:color="000000" w:sz="8" w:space="0"/>
              <w:bottom w:val="single" w:color="000000" w:sz="8" w:space="0"/>
              <w:right w:val="single" w:color="000000" w:sz="8" w:space="0"/>
            </w:tcBorders>
            <w:noWrap w:val="0"/>
            <w:vAlign w:val="center"/>
          </w:tcPr>
          <w:p w14:paraId="00F02FD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序号</w:t>
            </w:r>
          </w:p>
        </w:tc>
        <w:tc>
          <w:tcPr>
            <w:tcW w:w="492" w:type="dxa"/>
            <w:vMerge w:val="restart"/>
            <w:tcBorders>
              <w:top w:val="single" w:color="000000" w:sz="8" w:space="0"/>
              <w:left w:val="single" w:color="000000" w:sz="8" w:space="0"/>
              <w:bottom w:val="single" w:color="000000" w:sz="8" w:space="0"/>
              <w:right w:val="single" w:color="000000" w:sz="8" w:space="0"/>
            </w:tcBorders>
            <w:noWrap w:val="0"/>
            <w:vAlign w:val="center"/>
          </w:tcPr>
          <w:p w14:paraId="3C5909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服务环节</w:t>
            </w:r>
          </w:p>
        </w:tc>
        <w:tc>
          <w:tcPr>
            <w:tcW w:w="496" w:type="dxa"/>
            <w:vMerge w:val="restart"/>
            <w:tcBorders>
              <w:top w:val="single" w:color="000000" w:sz="8" w:space="0"/>
              <w:left w:val="single" w:color="000000" w:sz="8" w:space="0"/>
              <w:bottom w:val="single" w:color="000000" w:sz="8" w:space="0"/>
              <w:right w:val="single" w:color="000000" w:sz="8" w:space="0"/>
            </w:tcBorders>
            <w:noWrap w:val="0"/>
            <w:vAlign w:val="center"/>
          </w:tcPr>
          <w:p w14:paraId="6D4A18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支持环节</w:t>
            </w:r>
          </w:p>
        </w:tc>
        <w:tc>
          <w:tcPr>
            <w:tcW w:w="2279" w:type="dxa"/>
            <w:gridSpan w:val="3"/>
            <w:tcBorders>
              <w:top w:val="single" w:color="000000" w:sz="8" w:space="0"/>
              <w:left w:val="single" w:color="000000" w:sz="8" w:space="0"/>
              <w:bottom w:val="single" w:color="000000" w:sz="8" w:space="0"/>
              <w:right w:val="single" w:color="000000" w:sz="8" w:space="0"/>
            </w:tcBorders>
            <w:noWrap w:val="0"/>
            <w:vAlign w:val="center"/>
          </w:tcPr>
          <w:p w14:paraId="1D4B02E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服务面积（作业亩或亩次）</w:t>
            </w:r>
          </w:p>
        </w:tc>
        <w:tc>
          <w:tcPr>
            <w:tcW w:w="2364" w:type="dxa"/>
            <w:gridSpan w:val="3"/>
            <w:tcBorders>
              <w:top w:val="single" w:color="000000" w:sz="8" w:space="0"/>
              <w:left w:val="single" w:color="000000" w:sz="8" w:space="0"/>
              <w:bottom w:val="single" w:color="000000" w:sz="8" w:space="0"/>
              <w:right w:val="single" w:color="000000" w:sz="8" w:space="0"/>
            </w:tcBorders>
            <w:noWrap w:val="0"/>
            <w:vAlign w:val="center"/>
          </w:tcPr>
          <w:p w14:paraId="5A68A70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按系数折算面积（亩）</w:t>
            </w:r>
          </w:p>
        </w:tc>
        <w:tc>
          <w:tcPr>
            <w:tcW w:w="663" w:type="dxa"/>
            <w:vMerge w:val="restart"/>
            <w:tcBorders>
              <w:top w:val="single" w:color="000000" w:sz="8" w:space="0"/>
              <w:left w:val="single" w:color="000000" w:sz="8" w:space="0"/>
              <w:bottom w:val="single" w:color="000000" w:sz="8" w:space="0"/>
              <w:right w:val="single" w:color="000000" w:sz="8" w:space="0"/>
            </w:tcBorders>
            <w:noWrap w:val="0"/>
            <w:vAlign w:val="center"/>
          </w:tcPr>
          <w:p w14:paraId="7EC8433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补助标准（亩均</w:t>
            </w:r>
            <w:r>
              <w:rPr>
                <w:rFonts w:hint="eastAsia" w:ascii="Times New Roman" w:hAnsi="Times New Roman" w:eastAsia="黑体" w:cs="Times New Roman"/>
                <w:i w:val="0"/>
                <w:iCs w:val="0"/>
                <w:color w:val="000000"/>
                <w:kern w:val="0"/>
                <w:sz w:val="18"/>
                <w:szCs w:val="18"/>
                <w:u w:val="none"/>
                <w:lang w:val="en-US" w:eastAsia="zh-CN" w:bidi="ar"/>
              </w:rPr>
              <w:t>。</w:t>
            </w:r>
            <w:r>
              <w:rPr>
                <w:rFonts w:hint="default" w:ascii="Times New Roman" w:hAnsi="Times New Roman" w:eastAsia="黑体" w:cs="Times New Roman"/>
                <w:i w:val="0"/>
                <w:iCs w:val="0"/>
                <w:color w:val="000000"/>
                <w:kern w:val="0"/>
                <w:sz w:val="18"/>
                <w:szCs w:val="18"/>
                <w:u w:val="none"/>
                <w:lang w:val="en-US" w:eastAsia="zh-CN" w:bidi="ar"/>
              </w:rPr>
              <w:t>元）</w:t>
            </w:r>
          </w:p>
        </w:tc>
        <w:tc>
          <w:tcPr>
            <w:tcW w:w="521" w:type="dxa"/>
            <w:vMerge w:val="restart"/>
            <w:tcBorders>
              <w:top w:val="single" w:color="000000" w:sz="8" w:space="0"/>
              <w:left w:val="single" w:color="000000" w:sz="8" w:space="0"/>
              <w:right w:val="single" w:color="000000" w:sz="8" w:space="0"/>
            </w:tcBorders>
            <w:noWrap w:val="0"/>
            <w:vAlign w:val="center"/>
          </w:tcPr>
          <w:p w14:paraId="6E1D8A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kern w:val="0"/>
                <w:sz w:val="18"/>
                <w:szCs w:val="18"/>
                <w:u w:val="none"/>
                <w:lang w:val="en-US" w:eastAsia="zh-CN" w:bidi="ar"/>
              </w:rPr>
            </w:pPr>
            <w:r>
              <w:rPr>
                <w:rFonts w:hint="default" w:ascii="Times New Roman" w:hAnsi="Times New Roman" w:eastAsia="黑体" w:cs="Times New Roman"/>
                <w:i w:val="0"/>
                <w:iCs w:val="0"/>
                <w:color w:val="000000"/>
                <w:kern w:val="0"/>
                <w:sz w:val="18"/>
                <w:szCs w:val="18"/>
                <w:u w:val="none"/>
                <w:lang w:val="en-US" w:eastAsia="zh-CN" w:bidi="ar"/>
              </w:rPr>
              <w:t>农户补助</w:t>
            </w:r>
          </w:p>
        </w:tc>
        <w:tc>
          <w:tcPr>
            <w:tcW w:w="521" w:type="dxa"/>
            <w:vMerge w:val="restart"/>
            <w:tcBorders>
              <w:top w:val="single" w:color="000000" w:sz="8" w:space="0"/>
              <w:left w:val="single" w:color="000000" w:sz="8" w:space="0"/>
              <w:right w:val="single" w:color="000000" w:sz="8" w:space="0"/>
            </w:tcBorders>
            <w:noWrap w:val="0"/>
            <w:vAlign w:val="center"/>
          </w:tcPr>
          <w:p w14:paraId="3C6BFF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kern w:val="0"/>
                <w:sz w:val="18"/>
                <w:szCs w:val="18"/>
                <w:u w:val="none"/>
                <w:lang w:val="en-US" w:eastAsia="zh-CN" w:bidi="ar"/>
              </w:rPr>
            </w:pPr>
            <w:r>
              <w:rPr>
                <w:rFonts w:hint="default" w:ascii="Times New Roman" w:hAnsi="Times New Roman" w:eastAsia="黑体" w:cs="Times New Roman"/>
                <w:i w:val="0"/>
                <w:iCs w:val="0"/>
                <w:color w:val="000000"/>
                <w:kern w:val="0"/>
                <w:sz w:val="18"/>
                <w:szCs w:val="18"/>
                <w:u w:val="none"/>
                <w:lang w:val="en-US" w:eastAsia="zh-CN" w:bidi="ar"/>
              </w:rPr>
              <w:t>主体补助</w:t>
            </w:r>
          </w:p>
        </w:tc>
        <w:tc>
          <w:tcPr>
            <w:tcW w:w="2678" w:type="dxa"/>
            <w:gridSpan w:val="3"/>
            <w:tcBorders>
              <w:top w:val="single" w:color="000000" w:sz="8" w:space="0"/>
              <w:left w:val="single" w:color="000000" w:sz="8" w:space="0"/>
              <w:bottom w:val="single" w:color="000000" w:sz="8" w:space="0"/>
              <w:right w:val="single" w:color="000000" w:sz="8" w:space="0"/>
            </w:tcBorders>
            <w:noWrap w:val="0"/>
            <w:vAlign w:val="center"/>
          </w:tcPr>
          <w:p w14:paraId="6D2B1E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资金（元）</w:t>
            </w:r>
          </w:p>
        </w:tc>
      </w:tr>
      <w:tr w14:paraId="50429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jc w:val="center"/>
        </w:trPr>
        <w:tc>
          <w:tcPr>
            <w:tcW w:w="441" w:type="dxa"/>
            <w:vMerge w:val="continue"/>
            <w:tcBorders>
              <w:top w:val="single" w:color="000000" w:sz="8" w:space="0"/>
              <w:left w:val="single" w:color="000000" w:sz="8" w:space="0"/>
              <w:bottom w:val="single" w:color="000000" w:sz="8" w:space="0"/>
              <w:right w:val="single" w:color="000000" w:sz="8" w:space="0"/>
            </w:tcBorders>
            <w:noWrap w:val="0"/>
            <w:vAlign w:val="center"/>
          </w:tcPr>
          <w:p w14:paraId="40792ED6">
            <w:pPr>
              <w:keepNext w:val="0"/>
              <w:keepLines w:val="0"/>
              <w:pageBreakBefore w:val="0"/>
              <w:widowControl/>
              <w:kinsoku/>
              <w:wordWrap/>
              <w:overflowPunct/>
              <w:topLinePunct w:val="0"/>
              <w:autoSpaceDE/>
              <w:autoSpaceDN/>
              <w:bidi w:val="0"/>
              <w:adjustRightInd/>
              <w:snapToGrid/>
              <w:spacing w:line="240" w:lineRule="exact"/>
              <w:jc w:val="both"/>
              <w:rPr>
                <w:rFonts w:hint="default" w:ascii="Times New Roman" w:hAnsi="Times New Roman" w:eastAsia="黑体" w:cs="Times New Roman"/>
                <w:i w:val="0"/>
                <w:iCs w:val="0"/>
                <w:color w:val="000000"/>
                <w:sz w:val="18"/>
                <w:szCs w:val="18"/>
                <w:u w:val="none"/>
              </w:rPr>
            </w:pPr>
          </w:p>
        </w:tc>
        <w:tc>
          <w:tcPr>
            <w:tcW w:w="492" w:type="dxa"/>
            <w:vMerge w:val="continue"/>
            <w:tcBorders>
              <w:top w:val="single" w:color="000000" w:sz="8" w:space="0"/>
              <w:left w:val="single" w:color="000000" w:sz="8" w:space="0"/>
              <w:bottom w:val="single" w:color="000000" w:sz="8" w:space="0"/>
              <w:right w:val="single" w:color="000000" w:sz="8" w:space="0"/>
            </w:tcBorders>
            <w:noWrap w:val="0"/>
            <w:vAlign w:val="center"/>
          </w:tcPr>
          <w:p w14:paraId="23A4791B">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黑体" w:cs="Times New Roman"/>
                <w:i w:val="0"/>
                <w:iCs w:val="0"/>
                <w:color w:val="000000"/>
                <w:sz w:val="18"/>
                <w:szCs w:val="18"/>
                <w:u w:val="none"/>
              </w:rPr>
            </w:pPr>
          </w:p>
        </w:tc>
        <w:tc>
          <w:tcPr>
            <w:tcW w:w="496" w:type="dxa"/>
            <w:vMerge w:val="continue"/>
            <w:tcBorders>
              <w:top w:val="single" w:color="000000" w:sz="8" w:space="0"/>
              <w:left w:val="single" w:color="000000" w:sz="8" w:space="0"/>
              <w:bottom w:val="single" w:color="000000" w:sz="8" w:space="0"/>
              <w:right w:val="single" w:color="000000" w:sz="8" w:space="0"/>
            </w:tcBorders>
            <w:noWrap w:val="0"/>
            <w:vAlign w:val="center"/>
          </w:tcPr>
          <w:p w14:paraId="1E42B024">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黑体" w:cs="Times New Roman"/>
                <w:i w:val="0"/>
                <w:iCs w:val="0"/>
                <w:color w:val="000000"/>
                <w:sz w:val="18"/>
                <w:szCs w:val="18"/>
                <w:u w:val="none"/>
              </w:rPr>
            </w:pPr>
          </w:p>
        </w:tc>
        <w:tc>
          <w:tcPr>
            <w:tcW w:w="816" w:type="dxa"/>
            <w:vMerge w:val="restart"/>
            <w:tcBorders>
              <w:top w:val="nil"/>
              <w:left w:val="single" w:color="000000" w:sz="8" w:space="0"/>
              <w:bottom w:val="single" w:color="000000" w:sz="8" w:space="0"/>
              <w:right w:val="single" w:color="000000" w:sz="8" w:space="0"/>
            </w:tcBorders>
            <w:noWrap w:val="0"/>
            <w:vAlign w:val="center"/>
          </w:tcPr>
          <w:p w14:paraId="3B913E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合计</w:t>
            </w:r>
          </w:p>
        </w:tc>
        <w:tc>
          <w:tcPr>
            <w:tcW w:w="720" w:type="dxa"/>
            <w:vMerge w:val="restart"/>
            <w:tcBorders>
              <w:top w:val="nil"/>
              <w:left w:val="single" w:color="000000" w:sz="8" w:space="0"/>
              <w:bottom w:val="single" w:color="000000" w:sz="8" w:space="0"/>
              <w:right w:val="single" w:color="000000" w:sz="8" w:space="0"/>
            </w:tcBorders>
            <w:noWrap w:val="0"/>
            <w:vAlign w:val="center"/>
          </w:tcPr>
          <w:p w14:paraId="71BA14A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县农业农村局</w:t>
            </w:r>
          </w:p>
        </w:tc>
        <w:tc>
          <w:tcPr>
            <w:tcW w:w="743" w:type="dxa"/>
            <w:vMerge w:val="restart"/>
            <w:tcBorders>
              <w:top w:val="nil"/>
              <w:left w:val="single" w:color="000000" w:sz="8" w:space="0"/>
              <w:bottom w:val="single" w:color="000000" w:sz="8" w:space="0"/>
              <w:right w:val="single" w:color="000000" w:sz="8" w:space="0"/>
            </w:tcBorders>
            <w:noWrap w:val="0"/>
            <w:vAlign w:val="center"/>
          </w:tcPr>
          <w:p w14:paraId="2BD72D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县供销社</w:t>
            </w:r>
          </w:p>
        </w:tc>
        <w:tc>
          <w:tcPr>
            <w:tcW w:w="862" w:type="dxa"/>
            <w:vMerge w:val="restart"/>
            <w:tcBorders>
              <w:top w:val="nil"/>
              <w:left w:val="single" w:color="000000" w:sz="8" w:space="0"/>
              <w:bottom w:val="single" w:color="000000" w:sz="8" w:space="0"/>
              <w:right w:val="single" w:color="000000" w:sz="8" w:space="0"/>
            </w:tcBorders>
            <w:noWrap w:val="0"/>
            <w:vAlign w:val="center"/>
          </w:tcPr>
          <w:p w14:paraId="62EDA6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合计</w:t>
            </w:r>
          </w:p>
        </w:tc>
        <w:tc>
          <w:tcPr>
            <w:tcW w:w="862" w:type="dxa"/>
            <w:vMerge w:val="restart"/>
            <w:tcBorders>
              <w:top w:val="nil"/>
              <w:left w:val="single" w:color="000000" w:sz="8" w:space="0"/>
              <w:bottom w:val="single" w:color="000000" w:sz="8" w:space="0"/>
              <w:right w:val="single" w:color="000000" w:sz="8" w:space="0"/>
            </w:tcBorders>
            <w:noWrap w:val="0"/>
            <w:vAlign w:val="center"/>
          </w:tcPr>
          <w:p w14:paraId="2538590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县农业农村局</w:t>
            </w:r>
          </w:p>
        </w:tc>
        <w:tc>
          <w:tcPr>
            <w:tcW w:w="640" w:type="dxa"/>
            <w:tcBorders>
              <w:top w:val="single" w:color="000000" w:sz="8" w:space="0"/>
              <w:left w:val="single" w:color="000000" w:sz="8" w:space="0"/>
              <w:bottom w:val="nil"/>
              <w:right w:val="single" w:color="000000" w:sz="8" w:space="0"/>
            </w:tcBorders>
            <w:noWrap w:val="0"/>
            <w:vAlign w:val="center"/>
          </w:tcPr>
          <w:p w14:paraId="24A907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县供</w:t>
            </w:r>
          </w:p>
        </w:tc>
        <w:tc>
          <w:tcPr>
            <w:tcW w:w="663" w:type="dxa"/>
            <w:vMerge w:val="continue"/>
            <w:tcBorders>
              <w:top w:val="single" w:color="000000" w:sz="8" w:space="0"/>
              <w:left w:val="single" w:color="000000" w:sz="8" w:space="0"/>
              <w:bottom w:val="single" w:color="000000" w:sz="8" w:space="0"/>
              <w:right w:val="single" w:color="000000" w:sz="8" w:space="0"/>
            </w:tcBorders>
            <w:noWrap w:val="0"/>
            <w:vAlign w:val="center"/>
          </w:tcPr>
          <w:p w14:paraId="566D2E0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黑体" w:cs="Times New Roman"/>
                <w:i w:val="0"/>
                <w:iCs w:val="0"/>
                <w:color w:val="000000"/>
                <w:sz w:val="18"/>
                <w:szCs w:val="18"/>
                <w:u w:val="none"/>
              </w:rPr>
            </w:pPr>
          </w:p>
        </w:tc>
        <w:tc>
          <w:tcPr>
            <w:tcW w:w="521" w:type="dxa"/>
            <w:vMerge w:val="continue"/>
            <w:tcBorders>
              <w:left w:val="single" w:color="000000" w:sz="8" w:space="0"/>
              <w:bottom w:val="single" w:color="000000" w:sz="8" w:space="0"/>
              <w:right w:val="single" w:color="000000" w:sz="8" w:space="0"/>
            </w:tcBorders>
            <w:noWrap w:val="0"/>
            <w:vAlign w:val="center"/>
          </w:tcPr>
          <w:p w14:paraId="1E5A500E">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黑体" w:cs="Times New Roman"/>
                <w:i w:val="0"/>
                <w:iCs w:val="0"/>
                <w:color w:val="000000"/>
                <w:sz w:val="18"/>
                <w:szCs w:val="18"/>
                <w:u w:val="none"/>
              </w:rPr>
            </w:pPr>
          </w:p>
        </w:tc>
        <w:tc>
          <w:tcPr>
            <w:tcW w:w="521" w:type="dxa"/>
            <w:vMerge w:val="continue"/>
            <w:tcBorders>
              <w:left w:val="single" w:color="000000" w:sz="8" w:space="0"/>
              <w:bottom w:val="single" w:color="000000" w:sz="8" w:space="0"/>
              <w:right w:val="single" w:color="000000" w:sz="8" w:space="0"/>
            </w:tcBorders>
            <w:noWrap w:val="0"/>
            <w:vAlign w:val="center"/>
          </w:tcPr>
          <w:p w14:paraId="032B065F">
            <w:pPr>
              <w:keepNext w:val="0"/>
              <w:keepLines w:val="0"/>
              <w:pageBreakBefore w:val="0"/>
              <w:widowControl/>
              <w:kinsoku/>
              <w:wordWrap/>
              <w:overflowPunct/>
              <w:topLinePunct w:val="0"/>
              <w:autoSpaceDE/>
              <w:autoSpaceDN/>
              <w:bidi w:val="0"/>
              <w:adjustRightInd/>
              <w:snapToGrid/>
              <w:spacing w:line="240" w:lineRule="exact"/>
              <w:jc w:val="center"/>
              <w:rPr>
                <w:rFonts w:hint="default" w:ascii="Times New Roman" w:hAnsi="Times New Roman" w:eastAsia="黑体" w:cs="Times New Roman"/>
                <w:i w:val="0"/>
                <w:iCs w:val="0"/>
                <w:color w:val="000000"/>
                <w:sz w:val="18"/>
                <w:szCs w:val="18"/>
                <w:u w:val="none"/>
              </w:rPr>
            </w:pPr>
          </w:p>
        </w:tc>
        <w:tc>
          <w:tcPr>
            <w:tcW w:w="916" w:type="dxa"/>
            <w:vMerge w:val="restart"/>
            <w:tcBorders>
              <w:top w:val="single" w:color="000000" w:sz="8" w:space="0"/>
              <w:left w:val="single" w:color="000000" w:sz="8" w:space="0"/>
              <w:bottom w:val="single" w:color="000000" w:sz="8" w:space="0"/>
              <w:right w:val="single" w:color="000000" w:sz="8" w:space="0"/>
            </w:tcBorders>
            <w:noWrap w:val="0"/>
            <w:vAlign w:val="center"/>
          </w:tcPr>
          <w:p w14:paraId="275442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合计</w:t>
            </w:r>
          </w:p>
        </w:tc>
        <w:tc>
          <w:tcPr>
            <w:tcW w:w="916" w:type="dxa"/>
            <w:vMerge w:val="restart"/>
            <w:tcBorders>
              <w:top w:val="single" w:color="000000" w:sz="8" w:space="0"/>
              <w:left w:val="single" w:color="000000" w:sz="8" w:space="0"/>
              <w:bottom w:val="single" w:color="000000" w:sz="8" w:space="0"/>
              <w:right w:val="single" w:color="000000" w:sz="8" w:space="0"/>
            </w:tcBorders>
            <w:noWrap w:val="0"/>
            <w:vAlign w:val="center"/>
          </w:tcPr>
          <w:p w14:paraId="678FA9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县农业农村局</w:t>
            </w:r>
          </w:p>
        </w:tc>
        <w:tc>
          <w:tcPr>
            <w:tcW w:w="846" w:type="dxa"/>
            <w:vMerge w:val="restart"/>
            <w:tcBorders>
              <w:top w:val="single" w:color="000000" w:sz="8" w:space="0"/>
              <w:left w:val="single" w:color="000000" w:sz="8" w:space="0"/>
              <w:bottom w:val="single" w:color="000000" w:sz="8" w:space="0"/>
              <w:right w:val="single" w:color="000000" w:sz="8" w:space="0"/>
            </w:tcBorders>
            <w:noWrap w:val="0"/>
            <w:vAlign w:val="center"/>
          </w:tcPr>
          <w:p w14:paraId="595617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县供销社</w:t>
            </w:r>
          </w:p>
        </w:tc>
      </w:tr>
      <w:tr w14:paraId="309BA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441" w:type="dxa"/>
            <w:vMerge w:val="continue"/>
            <w:tcBorders>
              <w:top w:val="single" w:color="000000" w:sz="8" w:space="0"/>
              <w:left w:val="single" w:color="000000" w:sz="8" w:space="0"/>
              <w:bottom w:val="single" w:color="000000" w:sz="8" w:space="0"/>
              <w:right w:val="single" w:color="000000" w:sz="8" w:space="0"/>
            </w:tcBorders>
            <w:noWrap w:val="0"/>
            <w:vAlign w:val="center"/>
          </w:tcPr>
          <w:p w14:paraId="2D4F74C9">
            <w:pPr>
              <w:jc w:val="both"/>
              <w:rPr>
                <w:rFonts w:hint="default" w:ascii="Times New Roman" w:hAnsi="Times New Roman" w:eastAsia="黑体" w:cs="Times New Roman"/>
                <w:i w:val="0"/>
                <w:iCs w:val="0"/>
                <w:color w:val="000000"/>
                <w:sz w:val="18"/>
                <w:szCs w:val="18"/>
                <w:u w:val="none"/>
              </w:rPr>
            </w:pPr>
          </w:p>
        </w:tc>
        <w:tc>
          <w:tcPr>
            <w:tcW w:w="492" w:type="dxa"/>
            <w:vMerge w:val="continue"/>
            <w:tcBorders>
              <w:top w:val="single" w:color="000000" w:sz="8" w:space="0"/>
              <w:left w:val="single" w:color="000000" w:sz="8" w:space="0"/>
              <w:bottom w:val="single" w:color="000000" w:sz="8" w:space="0"/>
              <w:right w:val="single" w:color="000000" w:sz="8" w:space="0"/>
            </w:tcBorders>
            <w:noWrap w:val="0"/>
            <w:vAlign w:val="center"/>
          </w:tcPr>
          <w:p w14:paraId="6F22B3CC">
            <w:pPr>
              <w:jc w:val="center"/>
              <w:rPr>
                <w:rFonts w:hint="default" w:ascii="Times New Roman" w:hAnsi="Times New Roman" w:eastAsia="黑体" w:cs="Times New Roman"/>
                <w:i w:val="0"/>
                <w:iCs w:val="0"/>
                <w:color w:val="000000"/>
                <w:sz w:val="18"/>
                <w:szCs w:val="18"/>
                <w:u w:val="none"/>
              </w:rPr>
            </w:pPr>
          </w:p>
        </w:tc>
        <w:tc>
          <w:tcPr>
            <w:tcW w:w="496" w:type="dxa"/>
            <w:vMerge w:val="continue"/>
            <w:tcBorders>
              <w:top w:val="single" w:color="000000" w:sz="8" w:space="0"/>
              <w:left w:val="single" w:color="000000" w:sz="8" w:space="0"/>
              <w:bottom w:val="single" w:color="000000" w:sz="8" w:space="0"/>
              <w:right w:val="single" w:color="000000" w:sz="8" w:space="0"/>
            </w:tcBorders>
            <w:noWrap w:val="0"/>
            <w:vAlign w:val="center"/>
          </w:tcPr>
          <w:p w14:paraId="49888DD6">
            <w:pPr>
              <w:jc w:val="center"/>
              <w:rPr>
                <w:rFonts w:hint="default" w:ascii="Times New Roman" w:hAnsi="Times New Roman" w:eastAsia="黑体" w:cs="Times New Roman"/>
                <w:i w:val="0"/>
                <w:iCs w:val="0"/>
                <w:color w:val="000000"/>
                <w:sz w:val="18"/>
                <w:szCs w:val="18"/>
                <w:u w:val="none"/>
              </w:rPr>
            </w:pPr>
          </w:p>
        </w:tc>
        <w:tc>
          <w:tcPr>
            <w:tcW w:w="816" w:type="dxa"/>
            <w:vMerge w:val="continue"/>
            <w:tcBorders>
              <w:top w:val="nil"/>
              <w:left w:val="single" w:color="000000" w:sz="8" w:space="0"/>
              <w:bottom w:val="single" w:color="000000" w:sz="8" w:space="0"/>
              <w:right w:val="single" w:color="000000" w:sz="8" w:space="0"/>
            </w:tcBorders>
            <w:noWrap w:val="0"/>
            <w:vAlign w:val="center"/>
          </w:tcPr>
          <w:p w14:paraId="3BC73041">
            <w:pPr>
              <w:jc w:val="center"/>
              <w:rPr>
                <w:rFonts w:hint="default" w:ascii="Times New Roman" w:hAnsi="Times New Roman" w:eastAsia="黑体" w:cs="Times New Roman"/>
                <w:i w:val="0"/>
                <w:iCs w:val="0"/>
                <w:color w:val="000000"/>
                <w:sz w:val="18"/>
                <w:szCs w:val="18"/>
                <w:u w:val="none"/>
              </w:rPr>
            </w:pPr>
          </w:p>
        </w:tc>
        <w:tc>
          <w:tcPr>
            <w:tcW w:w="720" w:type="dxa"/>
            <w:vMerge w:val="continue"/>
            <w:tcBorders>
              <w:top w:val="nil"/>
              <w:left w:val="single" w:color="000000" w:sz="8" w:space="0"/>
              <w:bottom w:val="single" w:color="000000" w:sz="8" w:space="0"/>
              <w:right w:val="single" w:color="000000" w:sz="8" w:space="0"/>
            </w:tcBorders>
            <w:noWrap w:val="0"/>
            <w:vAlign w:val="center"/>
          </w:tcPr>
          <w:p w14:paraId="1C5D89E8">
            <w:pPr>
              <w:jc w:val="center"/>
              <w:rPr>
                <w:rFonts w:hint="default" w:ascii="Times New Roman" w:hAnsi="Times New Roman" w:eastAsia="黑体" w:cs="Times New Roman"/>
                <w:i w:val="0"/>
                <w:iCs w:val="0"/>
                <w:color w:val="000000"/>
                <w:sz w:val="18"/>
                <w:szCs w:val="18"/>
                <w:u w:val="none"/>
              </w:rPr>
            </w:pPr>
          </w:p>
        </w:tc>
        <w:tc>
          <w:tcPr>
            <w:tcW w:w="743" w:type="dxa"/>
            <w:vMerge w:val="continue"/>
            <w:tcBorders>
              <w:top w:val="nil"/>
              <w:left w:val="single" w:color="000000" w:sz="8" w:space="0"/>
              <w:bottom w:val="single" w:color="000000" w:sz="8" w:space="0"/>
              <w:right w:val="single" w:color="000000" w:sz="8" w:space="0"/>
            </w:tcBorders>
            <w:noWrap w:val="0"/>
            <w:vAlign w:val="center"/>
          </w:tcPr>
          <w:p w14:paraId="5899368C">
            <w:pPr>
              <w:jc w:val="center"/>
              <w:rPr>
                <w:rFonts w:hint="default" w:ascii="Times New Roman" w:hAnsi="Times New Roman" w:eastAsia="黑体" w:cs="Times New Roman"/>
                <w:i w:val="0"/>
                <w:iCs w:val="0"/>
                <w:color w:val="000000"/>
                <w:sz w:val="18"/>
                <w:szCs w:val="18"/>
                <w:u w:val="none"/>
              </w:rPr>
            </w:pPr>
          </w:p>
        </w:tc>
        <w:tc>
          <w:tcPr>
            <w:tcW w:w="862" w:type="dxa"/>
            <w:vMerge w:val="continue"/>
            <w:tcBorders>
              <w:top w:val="nil"/>
              <w:left w:val="single" w:color="000000" w:sz="8" w:space="0"/>
              <w:bottom w:val="single" w:color="000000" w:sz="8" w:space="0"/>
              <w:right w:val="single" w:color="000000" w:sz="8" w:space="0"/>
            </w:tcBorders>
            <w:noWrap w:val="0"/>
            <w:vAlign w:val="center"/>
          </w:tcPr>
          <w:p w14:paraId="4EBEE3E6">
            <w:pPr>
              <w:jc w:val="center"/>
              <w:rPr>
                <w:rFonts w:hint="default" w:ascii="Times New Roman" w:hAnsi="Times New Roman" w:eastAsia="黑体" w:cs="Times New Roman"/>
                <w:i w:val="0"/>
                <w:iCs w:val="0"/>
                <w:color w:val="000000"/>
                <w:sz w:val="18"/>
                <w:szCs w:val="18"/>
                <w:u w:val="none"/>
              </w:rPr>
            </w:pPr>
          </w:p>
        </w:tc>
        <w:tc>
          <w:tcPr>
            <w:tcW w:w="862" w:type="dxa"/>
            <w:vMerge w:val="continue"/>
            <w:tcBorders>
              <w:top w:val="nil"/>
              <w:left w:val="single" w:color="000000" w:sz="8" w:space="0"/>
              <w:bottom w:val="single" w:color="000000" w:sz="8" w:space="0"/>
              <w:right w:val="single" w:color="000000" w:sz="8" w:space="0"/>
            </w:tcBorders>
            <w:noWrap w:val="0"/>
            <w:vAlign w:val="center"/>
          </w:tcPr>
          <w:p w14:paraId="5D37DC2D">
            <w:pPr>
              <w:jc w:val="center"/>
              <w:rPr>
                <w:rFonts w:hint="default" w:ascii="Times New Roman" w:hAnsi="Times New Roman" w:eastAsia="黑体" w:cs="Times New Roman"/>
                <w:i w:val="0"/>
                <w:iCs w:val="0"/>
                <w:color w:val="000000"/>
                <w:sz w:val="18"/>
                <w:szCs w:val="18"/>
                <w:u w:val="none"/>
              </w:rPr>
            </w:pPr>
          </w:p>
        </w:tc>
        <w:tc>
          <w:tcPr>
            <w:tcW w:w="640" w:type="dxa"/>
            <w:tcBorders>
              <w:top w:val="nil"/>
              <w:left w:val="single" w:color="000000" w:sz="8" w:space="0"/>
              <w:bottom w:val="single" w:color="000000" w:sz="8" w:space="0"/>
              <w:right w:val="single" w:color="000000" w:sz="8" w:space="0"/>
            </w:tcBorders>
            <w:noWrap w:val="0"/>
            <w:vAlign w:val="center"/>
          </w:tcPr>
          <w:p w14:paraId="6EC2240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黑体" w:cs="Times New Roman"/>
                <w:i w:val="0"/>
                <w:iCs w:val="0"/>
                <w:color w:val="000000"/>
                <w:sz w:val="18"/>
                <w:szCs w:val="18"/>
                <w:u w:val="none"/>
              </w:rPr>
            </w:pPr>
            <w:r>
              <w:rPr>
                <w:rFonts w:hint="default" w:ascii="Times New Roman" w:hAnsi="Times New Roman" w:eastAsia="黑体" w:cs="Times New Roman"/>
                <w:i w:val="0"/>
                <w:iCs w:val="0"/>
                <w:color w:val="000000"/>
                <w:kern w:val="0"/>
                <w:sz w:val="18"/>
                <w:szCs w:val="18"/>
                <w:u w:val="none"/>
                <w:lang w:val="en-US" w:eastAsia="zh-CN" w:bidi="ar"/>
              </w:rPr>
              <w:t>销社</w:t>
            </w:r>
          </w:p>
        </w:tc>
        <w:tc>
          <w:tcPr>
            <w:tcW w:w="663" w:type="dxa"/>
            <w:vMerge w:val="continue"/>
            <w:tcBorders>
              <w:top w:val="single" w:color="000000" w:sz="8" w:space="0"/>
              <w:left w:val="single" w:color="000000" w:sz="8" w:space="0"/>
              <w:bottom w:val="single" w:color="000000" w:sz="8" w:space="0"/>
              <w:right w:val="single" w:color="000000" w:sz="8" w:space="0"/>
            </w:tcBorders>
            <w:noWrap w:val="0"/>
            <w:vAlign w:val="center"/>
          </w:tcPr>
          <w:p w14:paraId="6A2871C2">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黑体" w:cs="Times New Roman"/>
                <w:i w:val="0"/>
                <w:iCs w:val="0"/>
                <w:color w:val="000000"/>
                <w:sz w:val="18"/>
                <w:szCs w:val="18"/>
                <w:u w:val="none"/>
              </w:rPr>
            </w:pPr>
          </w:p>
        </w:tc>
        <w:tc>
          <w:tcPr>
            <w:tcW w:w="521" w:type="dxa"/>
            <w:tcBorders>
              <w:top w:val="single" w:color="000000" w:sz="8" w:space="0"/>
              <w:left w:val="single" w:color="000000" w:sz="8" w:space="0"/>
              <w:bottom w:val="single" w:color="000000" w:sz="8" w:space="0"/>
              <w:right w:val="single" w:color="000000" w:sz="8" w:space="0"/>
            </w:tcBorders>
            <w:noWrap w:val="0"/>
            <w:vAlign w:val="center"/>
          </w:tcPr>
          <w:p w14:paraId="5F1EE832">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黑体" w:cs="Times New Roman"/>
                <w:i w:val="0"/>
                <w:iCs w:val="0"/>
                <w:color w:val="000000"/>
                <w:sz w:val="18"/>
                <w:szCs w:val="18"/>
                <w:u w:val="none"/>
              </w:rPr>
            </w:pPr>
          </w:p>
        </w:tc>
        <w:tc>
          <w:tcPr>
            <w:tcW w:w="521" w:type="dxa"/>
            <w:tcBorders>
              <w:top w:val="single" w:color="000000" w:sz="8" w:space="0"/>
              <w:left w:val="single" w:color="000000" w:sz="8" w:space="0"/>
              <w:bottom w:val="single" w:color="000000" w:sz="8" w:space="0"/>
              <w:right w:val="single" w:color="000000" w:sz="8" w:space="0"/>
            </w:tcBorders>
            <w:noWrap w:val="0"/>
            <w:vAlign w:val="center"/>
          </w:tcPr>
          <w:p w14:paraId="51C4ED56">
            <w:pPr>
              <w:keepNext w:val="0"/>
              <w:keepLines w:val="0"/>
              <w:pageBreakBefore w:val="0"/>
              <w:kinsoku/>
              <w:wordWrap/>
              <w:overflowPunct/>
              <w:topLinePunct w:val="0"/>
              <w:autoSpaceDE/>
              <w:autoSpaceDN/>
              <w:bidi w:val="0"/>
              <w:adjustRightInd/>
              <w:snapToGrid/>
              <w:spacing w:line="240" w:lineRule="exact"/>
              <w:jc w:val="center"/>
              <w:rPr>
                <w:rFonts w:hint="default" w:ascii="Times New Roman" w:hAnsi="Times New Roman" w:eastAsia="黑体" w:cs="Times New Roman"/>
                <w:i w:val="0"/>
                <w:iCs w:val="0"/>
                <w:color w:val="000000"/>
                <w:sz w:val="18"/>
                <w:szCs w:val="18"/>
                <w:u w:val="none"/>
              </w:rPr>
            </w:pPr>
          </w:p>
        </w:tc>
        <w:tc>
          <w:tcPr>
            <w:tcW w:w="916" w:type="dxa"/>
            <w:vMerge w:val="continue"/>
            <w:tcBorders>
              <w:top w:val="single" w:color="000000" w:sz="8" w:space="0"/>
              <w:left w:val="single" w:color="000000" w:sz="8" w:space="0"/>
              <w:bottom w:val="single" w:color="000000" w:sz="8" w:space="0"/>
              <w:right w:val="single" w:color="000000" w:sz="8" w:space="0"/>
            </w:tcBorders>
            <w:noWrap w:val="0"/>
            <w:vAlign w:val="center"/>
          </w:tcPr>
          <w:p w14:paraId="716FE6E6">
            <w:pPr>
              <w:jc w:val="center"/>
              <w:rPr>
                <w:rFonts w:hint="default" w:ascii="Times New Roman" w:hAnsi="Times New Roman" w:eastAsia="黑体" w:cs="Times New Roman"/>
                <w:i w:val="0"/>
                <w:iCs w:val="0"/>
                <w:color w:val="000000"/>
                <w:sz w:val="18"/>
                <w:szCs w:val="18"/>
                <w:u w:val="none"/>
              </w:rPr>
            </w:pPr>
          </w:p>
        </w:tc>
        <w:tc>
          <w:tcPr>
            <w:tcW w:w="916" w:type="dxa"/>
            <w:vMerge w:val="continue"/>
            <w:tcBorders>
              <w:top w:val="single" w:color="000000" w:sz="8" w:space="0"/>
              <w:left w:val="single" w:color="000000" w:sz="8" w:space="0"/>
              <w:bottom w:val="single" w:color="000000" w:sz="8" w:space="0"/>
              <w:right w:val="single" w:color="000000" w:sz="8" w:space="0"/>
            </w:tcBorders>
            <w:noWrap w:val="0"/>
            <w:vAlign w:val="center"/>
          </w:tcPr>
          <w:p w14:paraId="6F9F88C0">
            <w:pPr>
              <w:jc w:val="center"/>
              <w:rPr>
                <w:rFonts w:hint="default" w:ascii="Times New Roman" w:hAnsi="Times New Roman" w:eastAsia="黑体" w:cs="Times New Roman"/>
                <w:i w:val="0"/>
                <w:iCs w:val="0"/>
                <w:color w:val="000000"/>
                <w:sz w:val="18"/>
                <w:szCs w:val="18"/>
                <w:u w:val="none"/>
              </w:rPr>
            </w:pPr>
          </w:p>
        </w:tc>
        <w:tc>
          <w:tcPr>
            <w:tcW w:w="846" w:type="dxa"/>
            <w:vMerge w:val="continue"/>
            <w:tcBorders>
              <w:top w:val="single" w:color="000000" w:sz="8" w:space="0"/>
              <w:left w:val="single" w:color="000000" w:sz="8" w:space="0"/>
              <w:bottom w:val="single" w:color="000000" w:sz="8" w:space="0"/>
              <w:right w:val="single" w:color="000000" w:sz="8" w:space="0"/>
            </w:tcBorders>
            <w:noWrap w:val="0"/>
            <w:vAlign w:val="center"/>
          </w:tcPr>
          <w:p w14:paraId="59C3E9DE">
            <w:pPr>
              <w:jc w:val="center"/>
              <w:rPr>
                <w:rFonts w:hint="default" w:ascii="Times New Roman" w:hAnsi="Times New Roman" w:eastAsia="黑体" w:cs="Times New Roman"/>
                <w:i w:val="0"/>
                <w:iCs w:val="0"/>
                <w:color w:val="000000"/>
                <w:sz w:val="18"/>
                <w:szCs w:val="18"/>
                <w:u w:val="none"/>
              </w:rPr>
            </w:pPr>
          </w:p>
        </w:tc>
      </w:tr>
      <w:tr w14:paraId="3B9D8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3" w:hRule="atLeast"/>
          <w:jc w:val="center"/>
        </w:trPr>
        <w:tc>
          <w:tcPr>
            <w:tcW w:w="441" w:type="dxa"/>
            <w:tcBorders>
              <w:top w:val="nil"/>
              <w:left w:val="single" w:color="000000" w:sz="8" w:space="0"/>
              <w:bottom w:val="single" w:color="000000" w:sz="8" w:space="0"/>
              <w:right w:val="single" w:color="000000" w:sz="8" w:space="0"/>
            </w:tcBorders>
            <w:noWrap w:val="0"/>
            <w:vAlign w:val="center"/>
          </w:tcPr>
          <w:p w14:paraId="115ACEF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492" w:type="dxa"/>
            <w:tcBorders>
              <w:top w:val="nil"/>
              <w:left w:val="single" w:color="000000" w:sz="8" w:space="0"/>
              <w:bottom w:val="single" w:color="000000" w:sz="8" w:space="0"/>
              <w:right w:val="single" w:color="000000" w:sz="8" w:space="0"/>
            </w:tcBorders>
            <w:noWrap w:val="0"/>
            <w:vAlign w:val="center"/>
          </w:tcPr>
          <w:p w14:paraId="466679D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耕</w:t>
            </w:r>
          </w:p>
        </w:tc>
        <w:tc>
          <w:tcPr>
            <w:tcW w:w="496" w:type="dxa"/>
            <w:tcBorders>
              <w:top w:val="nil"/>
              <w:left w:val="single" w:color="000000" w:sz="8" w:space="0"/>
              <w:bottom w:val="single" w:color="000000" w:sz="8" w:space="0"/>
              <w:right w:val="single" w:color="000000" w:sz="8" w:space="0"/>
            </w:tcBorders>
            <w:noWrap w:val="0"/>
            <w:vAlign w:val="center"/>
          </w:tcPr>
          <w:p w14:paraId="71D9CF3C">
            <w:pPr>
              <w:pStyle w:val="3"/>
              <w:bidi w:val="0"/>
              <w:rPr>
                <w:rFonts w:hint="default" w:ascii="Times New Roman" w:hAnsi="Times New Roman" w:cs="Times New Roman"/>
                <w:sz w:val="18"/>
                <w:szCs w:val="18"/>
              </w:rPr>
            </w:pPr>
            <w:r>
              <w:rPr>
                <w:rFonts w:hint="default" w:ascii="Times New Roman" w:hAnsi="Times New Roman" w:cs="Times New Roman"/>
                <w:sz w:val="18"/>
                <w:szCs w:val="18"/>
                <w:lang w:val="en-US" w:eastAsia="zh-CN"/>
              </w:rPr>
              <w:t>耕</w:t>
            </w:r>
          </w:p>
        </w:tc>
        <w:tc>
          <w:tcPr>
            <w:tcW w:w="816" w:type="dxa"/>
            <w:tcBorders>
              <w:top w:val="nil"/>
              <w:left w:val="single" w:color="000000" w:sz="8" w:space="0"/>
              <w:bottom w:val="single" w:color="000000" w:sz="8" w:space="0"/>
              <w:right w:val="single" w:color="000000" w:sz="8" w:space="0"/>
            </w:tcBorders>
            <w:noWrap w:val="0"/>
            <w:vAlign w:val="center"/>
          </w:tcPr>
          <w:p w14:paraId="46BA634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23500</w:t>
            </w:r>
          </w:p>
        </w:tc>
        <w:tc>
          <w:tcPr>
            <w:tcW w:w="720" w:type="dxa"/>
            <w:tcBorders>
              <w:top w:val="nil"/>
              <w:left w:val="single" w:color="000000" w:sz="8" w:space="0"/>
              <w:bottom w:val="single" w:color="000000" w:sz="8" w:space="0"/>
              <w:right w:val="single" w:color="000000" w:sz="8" w:space="0"/>
            </w:tcBorders>
            <w:noWrap w:val="0"/>
            <w:vAlign w:val="center"/>
          </w:tcPr>
          <w:p w14:paraId="38B7F7E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15500</w:t>
            </w:r>
          </w:p>
        </w:tc>
        <w:tc>
          <w:tcPr>
            <w:tcW w:w="743" w:type="dxa"/>
            <w:tcBorders>
              <w:top w:val="nil"/>
              <w:left w:val="single" w:color="000000" w:sz="8" w:space="0"/>
              <w:bottom w:val="single" w:color="000000" w:sz="8" w:space="0"/>
              <w:right w:val="single" w:color="000000" w:sz="8" w:space="0"/>
            </w:tcBorders>
            <w:noWrap w:val="0"/>
            <w:vAlign w:val="center"/>
          </w:tcPr>
          <w:p w14:paraId="4904876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8000</w:t>
            </w:r>
          </w:p>
        </w:tc>
        <w:tc>
          <w:tcPr>
            <w:tcW w:w="862" w:type="dxa"/>
            <w:tcBorders>
              <w:top w:val="nil"/>
              <w:left w:val="single" w:color="000000" w:sz="8" w:space="0"/>
              <w:bottom w:val="single" w:color="000000" w:sz="8" w:space="0"/>
              <w:right w:val="single" w:color="000000" w:sz="8" w:space="0"/>
            </w:tcBorders>
            <w:noWrap w:val="0"/>
            <w:vAlign w:val="center"/>
          </w:tcPr>
          <w:p w14:paraId="549A83C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8460</w:t>
            </w:r>
          </w:p>
        </w:tc>
        <w:tc>
          <w:tcPr>
            <w:tcW w:w="862" w:type="dxa"/>
            <w:tcBorders>
              <w:top w:val="nil"/>
              <w:left w:val="single" w:color="000000" w:sz="8" w:space="0"/>
              <w:bottom w:val="single" w:color="000000" w:sz="8" w:space="0"/>
              <w:right w:val="single" w:color="000000" w:sz="8" w:space="0"/>
            </w:tcBorders>
            <w:noWrap w:val="0"/>
            <w:vAlign w:val="center"/>
          </w:tcPr>
          <w:p w14:paraId="02F1F19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5580</w:t>
            </w:r>
          </w:p>
        </w:tc>
        <w:tc>
          <w:tcPr>
            <w:tcW w:w="640" w:type="dxa"/>
            <w:tcBorders>
              <w:top w:val="nil"/>
              <w:left w:val="single" w:color="000000" w:sz="8" w:space="0"/>
              <w:bottom w:val="single" w:color="000000" w:sz="8" w:space="0"/>
              <w:right w:val="single" w:color="000000" w:sz="8" w:space="0"/>
            </w:tcBorders>
            <w:noWrap w:val="0"/>
            <w:vAlign w:val="center"/>
          </w:tcPr>
          <w:p w14:paraId="0906FCF1">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2880</w:t>
            </w:r>
          </w:p>
        </w:tc>
        <w:tc>
          <w:tcPr>
            <w:tcW w:w="663" w:type="dxa"/>
            <w:tcBorders>
              <w:top w:val="nil"/>
              <w:left w:val="single" w:color="000000" w:sz="8" w:space="0"/>
              <w:bottom w:val="single" w:color="000000" w:sz="8" w:space="0"/>
              <w:right w:val="single" w:color="000000" w:sz="8" w:space="0"/>
            </w:tcBorders>
            <w:noWrap w:val="0"/>
            <w:vAlign w:val="center"/>
          </w:tcPr>
          <w:p w14:paraId="247DF1F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24</w:t>
            </w:r>
          </w:p>
        </w:tc>
        <w:tc>
          <w:tcPr>
            <w:tcW w:w="521" w:type="dxa"/>
            <w:tcBorders>
              <w:top w:val="nil"/>
              <w:left w:val="single" w:color="000000" w:sz="8" w:space="0"/>
              <w:bottom w:val="single" w:color="000000" w:sz="8" w:space="0"/>
              <w:right w:val="single" w:color="000000" w:sz="8" w:space="0"/>
            </w:tcBorders>
            <w:noWrap w:val="0"/>
            <w:vAlign w:val="center"/>
          </w:tcPr>
          <w:p w14:paraId="2B8BBD80">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521" w:type="dxa"/>
            <w:tcBorders>
              <w:top w:val="nil"/>
              <w:left w:val="single" w:color="000000" w:sz="8" w:space="0"/>
              <w:bottom w:val="single" w:color="000000" w:sz="8" w:space="0"/>
              <w:right w:val="single" w:color="000000" w:sz="8" w:space="0"/>
            </w:tcBorders>
            <w:noWrap w:val="0"/>
            <w:vAlign w:val="center"/>
          </w:tcPr>
          <w:p w14:paraId="1C52C695">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12</w:t>
            </w:r>
          </w:p>
        </w:tc>
        <w:tc>
          <w:tcPr>
            <w:tcW w:w="916" w:type="dxa"/>
            <w:tcBorders>
              <w:top w:val="nil"/>
              <w:left w:val="single" w:color="000000" w:sz="8" w:space="0"/>
              <w:bottom w:val="single" w:color="000000" w:sz="8" w:space="0"/>
              <w:right w:val="single" w:color="000000" w:sz="8" w:space="0"/>
            </w:tcBorders>
            <w:noWrap w:val="0"/>
            <w:vAlign w:val="center"/>
          </w:tcPr>
          <w:p w14:paraId="3F72201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564000</w:t>
            </w:r>
          </w:p>
        </w:tc>
        <w:tc>
          <w:tcPr>
            <w:tcW w:w="916" w:type="dxa"/>
            <w:tcBorders>
              <w:top w:val="nil"/>
              <w:left w:val="single" w:color="000000" w:sz="8" w:space="0"/>
              <w:bottom w:val="single" w:color="000000" w:sz="8" w:space="0"/>
              <w:right w:val="single" w:color="000000" w:sz="8" w:space="0"/>
            </w:tcBorders>
            <w:noWrap w:val="0"/>
            <w:vAlign w:val="center"/>
          </w:tcPr>
          <w:p w14:paraId="7E47CAF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372000</w:t>
            </w:r>
          </w:p>
        </w:tc>
        <w:tc>
          <w:tcPr>
            <w:tcW w:w="846" w:type="dxa"/>
            <w:tcBorders>
              <w:top w:val="nil"/>
              <w:left w:val="single" w:color="000000" w:sz="8" w:space="0"/>
              <w:bottom w:val="single" w:color="000000" w:sz="8" w:space="0"/>
              <w:right w:val="single" w:color="000000" w:sz="8" w:space="0"/>
            </w:tcBorders>
            <w:noWrap w:val="0"/>
            <w:vAlign w:val="center"/>
          </w:tcPr>
          <w:p w14:paraId="5B8D1C5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192000</w:t>
            </w:r>
          </w:p>
        </w:tc>
      </w:tr>
      <w:tr w14:paraId="1D3C0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2" w:hRule="atLeast"/>
          <w:jc w:val="center"/>
        </w:trPr>
        <w:tc>
          <w:tcPr>
            <w:tcW w:w="441" w:type="dxa"/>
            <w:vMerge w:val="restart"/>
            <w:tcBorders>
              <w:top w:val="nil"/>
              <w:left w:val="single" w:color="000000" w:sz="8" w:space="0"/>
              <w:bottom w:val="single" w:color="000000" w:sz="8" w:space="0"/>
              <w:right w:val="single" w:color="000000" w:sz="8" w:space="0"/>
            </w:tcBorders>
            <w:noWrap w:val="0"/>
            <w:vAlign w:val="center"/>
          </w:tcPr>
          <w:p w14:paraId="2CCDF08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492" w:type="dxa"/>
            <w:vMerge w:val="restart"/>
            <w:tcBorders>
              <w:top w:val="nil"/>
              <w:left w:val="single" w:color="000000" w:sz="8" w:space="0"/>
              <w:bottom w:val="single" w:color="000000" w:sz="8" w:space="0"/>
              <w:right w:val="single" w:color="000000" w:sz="8" w:space="0"/>
            </w:tcBorders>
            <w:noWrap w:val="0"/>
            <w:vAlign w:val="center"/>
          </w:tcPr>
          <w:p w14:paraId="68D5D6F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种</w:t>
            </w:r>
          </w:p>
        </w:tc>
        <w:tc>
          <w:tcPr>
            <w:tcW w:w="496" w:type="dxa"/>
            <w:tcBorders>
              <w:top w:val="nil"/>
              <w:left w:val="single" w:color="000000" w:sz="8" w:space="0"/>
              <w:bottom w:val="single" w:color="000000" w:sz="8" w:space="0"/>
              <w:right w:val="single" w:color="000000" w:sz="8" w:space="0"/>
            </w:tcBorders>
            <w:noWrap w:val="0"/>
            <w:vAlign w:val="center"/>
          </w:tcPr>
          <w:p w14:paraId="4244D62C">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育秧</w:t>
            </w:r>
          </w:p>
        </w:tc>
        <w:tc>
          <w:tcPr>
            <w:tcW w:w="816" w:type="dxa"/>
            <w:tcBorders>
              <w:top w:val="nil"/>
              <w:left w:val="single" w:color="000000" w:sz="8" w:space="0"/>
              <w:bottom w:val="single" w:color="000000" w:sz="8" w:space="0"/>
              <w:right w:val="single" w:color="000000" w:sz="8" w:space="0"/>
            </w:tcBorders>
            <w:noWrap w:val="0"/>
            <w:vAlign w:val="center"/>
          </w:tcPr>
          <w:p w14:paraId="233AE0A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15000</w:t>
            </w:r>
          </w:p>
        </w:tc>
        <w:tc>
          <w:tcPr>
            <w:tcW w:w="720" w:type="dxa"/>
            <w:tcBorders>
              <w:top w:val="nil"/>
              <w:left w:val="single" w:color="000000" w:sz="8" w:space="0"/>
              <w:bottom w:val="single" w:color="000000" w:sz="8" w:space="0"/>
              <w:right w:val="single" w:color="000000" w:sz="8" w:space="0"/>
            </w:tcBorders>
            <w:noWrap w:val="0"/>
            <w:vAlign w:val="center"/>
          </w:tcPr>
          <w:p w14:paraId="427B6FC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743" w:type="dxa"/>
            <w:tcBorders>
              <w:top w:val="nil"/>
              <w:left w:val="single" w:color="000000" w:sz="8" w:space="0"/>
              <w:bottom w:val="single" w:color="000000" w:sz="8" w:space="0"/>
              <w:right w:val="single" w:color="000000" w:sz="8" w:space="0"/>
            </w:tcBorders>
            <w:noWrap w:val="0"/>
            <w:vAlign w:val="center"/>
          </w:tcPr>
          <w:p w14:paraId="4B011C7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5000</w:t>
            </w:r>
          </w:p>
        </w:tc>
        <w:tc>
          <w:tcPr>
            <w:tcW w:w="862" w:type="dxa"/>
            <w:tcBorders>
              <w:top w:val="nil"/>
              <w:left w:val="single" w:color="000000" w:sz="8" w:space="0"/>
              <w:bottom w:val="single" w:color="000000" w:sz="8" w:space="0"/>
              <w:right w:val="single" w:color="000000" w:sz="8" w:space="0"/>
            </w:tcBorders>
            <w:noWrap w:val="0"/>
            <w:vAlign w:val="center"/>
          </w:tcPr>
          <w:p w14:paraId="7630AE4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4050</w:t>
            </w:r>
          </w:p>
        </w:tc>
        <w:tc>
          <w:tcPr>
            <w:tcW w:w="862" w:type="dxa"/>
            <w:tcBorders>
              <w:top w:val="nil"/>
              <w:left w:val="single" w:color="000000" w:sz="8" w:space="0"/>
              <w:bottom w:val="single" w:color="000000" w:sz="8" w:space="0"/>
              <w:right w:val="single" w:color="000000" w:sz="8" w:space="0"/>
            </w:tcBorders>
            <w:noWrap w:val="0"/>
            <w:vAlign w:val="center"/>
          </w:tcPr>
          <w:p w14:paraId="35B262F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2700</w:t>
            </w:r>
          </w:p>
        </w:tc>
        <w:tc>
          <w:tcPr>
            <w:tcW w:w="640" w:type="dxa"/>
            <w:tcBorders>
              <w:top w:val="nil"/>
              <w:left w:val="single" w:color="000000" w:sz="8" w:space="0"/>
              <w:bottom w:val="single" w:color="000000" w:sz="8" w:space="0"/>
              <w:right w:val="single" w:color="000000" w:sz="8" w:space="0"/>
            </w:tcBorders>
            <w:noWrap w:val="0"/>
            <w:vAlign w:val="center"/>
          </w:tcPr>
          <w:p w14:paraId="678603A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1350</w:t>
            </w:r>
          </w:p>
        </w:tc>
        <w:tc>
          <w:tcPr>
            <w:tcW w:w="663" w:type="dxa"/>
            <w:tcBorders>
              <w:top w:val="nil"/>
              <w:left w:val="single" w:color="000000" w:sz="8" w:space="0"/>
              <w:bottom w:val="single" w:color="000000" w:sz="8" w:space="0"/>
              <w:right w:val="single" w:color="000000" w:sz="8" w:space="0"/>
            </w:tcBorders>
            <w:noWrap w:val="0"/>
            <w:vAlign w:val="center"/>
          </w:tcPr>
          <w:p w14:paraId="732E21A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521" w:type="dxa"/>
            <w:tcBorders>
              <w:top w:val="nil"/>
              <w:left w:val="single" w:color="000000" w:sz="8" w:space="0"/>
              <w:bottom w:val="single" w:color="000000" w:sz="8" w:space="0"/>
              <w:right w:val="single" w:color="000000" w:sz="8" w:space="0"/>
            </w:tcBorders>
            <w:noWrap w:val="0"/>
            <w:vAlign w:val="center"/>
          </w:tcPr>
          <w:p w14:paraId="6CA22B8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12.5</w:t>
            </w:r>
          </w:p>
        </w:tc>
        <w:tc>
          <w:tcPr>
            <w:tcW w:w="521" w:type="dxa"/>
            <w:tcBorders>
              <w:top w:val="nil"/>
              <w:left w:val="single" w:color="000000" w:sz="8" w:space="0"/>
              <w:bottom w:val="single" w:color="000000" w:sz="8" w:space="0"/>
              <w:right w:val="single" w:color="000000" w:sz="8" w:space="0"/>
            </w:tcBorders>
            <w:noWrap w:val="0"/>
            <w:vAlign w:val="center"/>
          </w:tcPr>
          <w:p w14:paraId="382CE90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12.5</w:t>
            </w:r>
          </w:p>
        </w:tc>
        <w:tc>
          <w:tcPr>
            <w:tcW w:w="916" w:type="dxa"/>
            <w:tcBorders>
              <w:top w:val="nil"/>
              <w:left w:val="single" w:color="000000" w:sz="8" w:space="0"/>
              <w:bottom w:val="single" w:color="000000" w:sz="8" w:space="0"/>
              <w:right w:val="single" w:color="000000" w:sz="8" w:space="0"/>
            </w:tcBorders>
            <w:noWrap w:val="0"/>
            <w:vAlign w:val="center"/>
          </w:tcPr>
          <w:p w14:paraId="1943BBA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375000</w:t>
            </w:r>
          </w:p>
        </w:tc>
        <w:tc>
          <w:tcPr>
            <w:tcW w:w="916" w:type="dxa"/>
            <w:tcBorders>
              <w:top w:val="nil"/>
              <w:left w:val="single" w:color="000000" w:sz="8" w:space="0"/>
              <w:bottom w:val="single" w:color="000000" w:sz="8" w:space="0"/>
              <w:right w:val="single" w:color="000000" w:sz="8" w:space="0"/>
            </w:tcBorders>
            <w:noWrap w:val="0"/>
            <w:vAlign w:val="center"/>
          </w:tcPr>
          <w:p w14:paraId="7AEEC79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250000</w:t>
            </w:r>
          </w:p>
        </w:tc>
        <w:tc>
          <w:tcPr>
            <w:tcW w:w="846" w:type="dxa"/>
            <w:tcBorders>
              <w:top w:val="nil"/>
              <w:left w:val="single" w:color="000000" w:sz="8" w:space="0"/>
              <w:bottom w:val="single" w:color="000000" w:sz="8" w:space="0"/>
              <w:right w:val="single" w:color="000000" w:sz="8" w:space="0"/>
            </w:tcBorders>
            <w:noWrap w:val="0"/>
            <w:vAlign w:val="center"/>
          </w:tcPr>
          <w:p w14:paraId="0F9B19B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125000</w:t>
            </w:r>
          </w:p>
        </w:tc>
      </w:tr>
      <w:tr w14:paraId="52758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2" w:hRule="atLeast"/>
          <w:jc w:val="center"/>
        </w:trPr>
        <w:tc>
          <w:tcPr>
            <w:tcW w:w="441" w:type="dxa"/>
            <w:vMerge w:val="continue"/>
            <w:tcBorders>
              <w:top w:val="nil"/>
              <w:left w:val="single" w:color="000000" w:sz="8" w:space="0"/>
              <w:bottom w:val="single" w:color="000000" w:sz="8" w:space="0"/>
              <w:right w:val="single" w:color="000000" w:sz="8" w:space="0"/>
            </w:tcBorders>
            <w:noWrap w:val="0"/>
            <w:vAlign w:val="center"/>
          </w:tcPr>
          <w:p w14:paraId="18E5A5FA">
            <w:pPr>
              <w:jc w:val="center"/>
              <w:rPr>
                <w:rFonts w:hint="default" w:ascii="Times New Roman" w:hAnsi="Times New Roman" w:eastAsia="宋体" w:cs="Times New Roman"/>
                <w:i w:val="0"/>
                <w:iCs w:val="0"/>
                <w:color w:val="000000"/>
                <w:sz w:val="18"/>
                <w:szCs w:val="18"/>
                <w:u w:val="none"/>
              </w:rPr>
            </w:pPr>
          </w:p>
        </w:tc>
        <w:tc>
          <w:tcPr>
            <w:tcW w:w="492" w:type="dxa"/>
            <w:vMerge w:val="continue"/>
            <w:tcBorders>
              <w:top w:val="nil"/>
              <w:left w:val="single" w:color="000000" w:sz="8" w:space="0"/>
              <w:bottom w:val="single" w:color="000000" w:sz="8" w:space="0"/>
              <w:right w:val="single" w:color="000000" w:sz="8" w:space="0"/>
            </w:tcBorders>
            <w:noWrap w:val="0"/>
            <w:vAlign w:val="center"/>
          </w:tcPr>
          <w:p w14:paraId="51B3D7E3">
            <w:pPr>
              <w:jc w:val="center"/>
              <w:rPr>
                <w:rFonts w:hint="default" w:ascii="Times New Roman" w:hAnsi="Times New Roman" w:eastAsia="仿宋_GB2312" w:cs="Times New Roman"/>
                <w:i w:val="0"/>
                <w:iCs w:val="0"/>
                <w:color w:val="000000"/>
                <w:sz w:val="18"/>
                <w:szCs w:val="18"/>
                <w:u w:val="none"/>
              </w:rPr>
            </w:pPr>
          </w:p>
        </w:tc>
        <w:tc>
          <w:tcPr>
            <w:tcW w:w="496" w:type="dxa"/>
            <w:tcBorders>
              <w:top w:val="nil"/>
              <w:left w:val="single" w:color="000000" w:sz="8" w:space="0"/>
              <w:bottom w:val="single" w:color="000000" w:sz="8" w:space="0"/>
              <w:right w:val="single" w:color="000000" w:sz="8" w:space="0"/>
            </w:tcBorders>
            <w:noWrap w:val="0"/>
            <w:vAlign w:val="center"/>
          </w:tcPr>
          <w:p w14:paraId="67BDCB6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插秧</w:t>
            </w:r>
          </w:p>
        </w:tc>
        <w:tc>
          <w:tcPr>
            <w:tcW w:w="816" w:type="dxa"/>
            <w:tcBorders>
              <w:top w:val="nil"/>
              <w:left w:val="single" w:color="000000" w:sz="8" w:space="0"/>
              <w:bottom w:val="single" w:color="000000" w:sz="8" w:space="0"/>
              <w:right w:val="single" w:color="000000" w:sz="8" w:space="0"/>
            </w:tcBorders>
            <w:noWrap w:val="0"/>
            <w:vAlign w:val="center"/>
          </w:tcPr>
          <w:p w14:paraId="5AD5B43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15000</w:t>
            </w:r>
          </w:p>
        </w:tc>
        <w:tc>
          <w:tcPr>
            <w:tcW w:w="720" w:type="dxa"/>
            <w:tcBorders>
              <w:top w:val="nil"/>
              <w:left w:val="single" w:color="000000" w:sz="8" w:space="0"/>
              <w:bottom w:val="single" w:color="000000" w:sz="8" w:space="0"/>
              <w:right w:val="single" w:color="000000" w:sz="8" w:space="0"/>
            </w:tcBorders>
            <w:noWrap w:val="0"/>
            <w:vAlign w:val="center"/>
          </w:tcPr>
          <w:p w14:paraId="49509FE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10000</w:t>
            </w:r>
          </w:p>
        </w:tc>
        <w:tc>
          <w:tcPr>
            <w:tcW w:w="743" w:type="dxa"/>
            <w:tcBorders>
              <w:top w:val="nil"/>
              <w:left w:val="single" w:color="000000" w:sz="8" w:space="0"/>
              <w:bottom w:val="single" w:color="000000" w:sz="8" w:space="0"/>
              <w:right w:val="single" w:color="000000" w:sz="8" w:space="0"/>
            </w:tcBorders>
            <w:noWrap w:val="0"/>
            <w:vAlign w:val="center"/>
          </w:tcPr>
          <w:p w14:paraId="7B5EA24E">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5000</w:t>
            </w:r>
          </w:p>
        </w:tc>
        <w:tc>
          <w:tcPr>
            <w:tcW w:w="862" w:type="dxa"/>
            <w:tcBorders>
              <w:top w:val="nil"/>
              <w:left w:val="single" w:color="000000" w:sz="8" w:space="0"/>
              <w:bottom w:val="single" w:color="000000" w:sz="8" w:space="0"/>
              <w:right w:val="single" w:color="000000" w:sz="8" w:space="0"/>
            </w:tcBorders>
            <w:noWrap w:val="0"/>
            <w:vAlign w:val="center"/>
          </w:tcPr>
          <w:p w14:paraId="7CEA440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4050</w:t>
            </w:r>
          </w:p>
        </w:tc>
        <w:tc>
          <w:tcPr>
            <w:tcW w:w="862" w:type="dxa"/>
            <w:tcBorders>
              <w:top w:val="nil"/>
              <w:left w:val="single" w:color="000000" w:sz="8" w:space="0"/>
              <w:bottom w:val="single" w:color="000000" w:sz="8" w:space="0"/>
              <w:right w:val="single" w:color="000000" w:sz="8" w:space="0"/>
            </w:tcBorders>
            <w:noWrap w:val="0"/>
            <w:vAlign w:val="center"/>
          </w:tcPr>
          <w:p w14:paraId="78905A7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2700</w:t>
            </w:r>
          </w:p>
        </w:tc>
        <w:tc>
          <w:tcPr>
            <w:tcW w:w="640" w:type="dxa"/>
            <w:tcBorders>
              <w:top w:val="nil"/>
              <w:left w:val="single" w:color="000000" w:sz="8" w:space="0"/>
              <w:bottom w:val="single" w:color="000000" w:sz="8" w:space="0"/>
              <w:right w:val="single" w:color="000000" w:sz="8" w:space="0"/>
            </w:tcBorders>
            <w:noWrap w:val="0"/>
            <w:vAlign w:val="center"/>
          </w:tcPr>
          <w:p w14:paraId="19B9360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1350</w:t>
            </w:r>
          </w:p>
        </w:tc>
        <w:tc>
          <w:tcPr>
            <w:tcW w:w="663" w:type="dxa"/>
            <w:tcBorders>
              <w:top w:val="nil"/>
              <w:left w:val="single" w:color="000000" w:sz="8" w:space="0"/>
              <w:bottom w:val="single" w:color="000000" w:sz="8" w:space="0"/>
              <w:right w:val="single" w:color="000000" w:sz="8" w:space="0"/>
            </w:tcBorders>
            <w:noWrap w:val="0"/>
            <w:vAlign w:val="center"/>
          </w:tcPr>
          <w:p w14:paraId="4767D7D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521" w:type="dxa"/>
            <w:tcBorders>
              <w:top w:val="nil"/>
              <w:left w:val="single" w:color="000000" w:sz="8" w:space="0"/>
              <w:bottom w:val="single" w:color="000000" w:sz="8" w:space="0"/>
              <w:right w:val="single" w:color="000000" w:sz="8" w:space="0"/>
            </w:tcBorders>
            <w:noWrap w:val="0"/>
            <w:vAlign w:val="center"/>
          </w:tcPr>
          <w:p w14:paraId="1C44D98D">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12.5</w:t>
            </w:r>
          </w:p>
        </w:tc>
        <w:tc>
          <w:tcPr>
            <w:tcW w:w="521" w:type="dxa"/>
            <w:tcBorders>
              <w:top w:val="nil"/>
              <w:left w:val="single" w:color="000000" w:sz="8" w:space="0"/>
              <w:bottom w:val="single" w:color="000000" w:sz="8" w:space="0"/>
              <w:right w:val="single" w:color="000000" w:sz="8" w:space="0"/>
            </w:tcBorders>
            <w:noWrap w:val="0"/>
            <w:vAlign w:val="center"/>
          </w:tcPr>
          <w:p w14:paraId="5BC49491">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12.5</w:t>
            </w:r>
          </w:p>
        </w:tc>
        <w:tc>
          <w:tcPr>
            <w:tcW w:w="916" w:type="dxa"/>
            <w:tcBorders>
              <w:top w:val="nil"/>
              <w:left w:val="single" w:color="000000" w:sz="8" w:space="0"/>
              <w:bottom w:val="single" w:color="000000" w:sz="8" w:space="0"/>
              <w:right w:val="single" w:color="000000" w:sz="8" w:space="0"/>
            </w:tcBorders>
            <w:noWrap w:val="0"/>
            <w:vAlign w:val="center"/>
          </w:tcPr>
          <w:p w14:paraId="39154C7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375000</w:t>
            </w:r>
          </w:p>
        </w:tc>
        <w:tc>
          <w:tcPr>
            <w:tcW w:w="916" w:type="dxa"/>
            <w:tcBorders>
              <w:top w:val="nil"/>
              <w:left w:val="single" w:color="000000" w:sz="8" w:space="0"/>
              <w:bottom w:val="single" w:color="000000" w:sz="8" w:space="0"/>
              <w:right w:val="single" w:color="000000" w:sz="8" w:space="0"/>
            </w:tcBorders>
            <w:noWrap w:val="0"/>
            <w:vAlign w:val="center"/>
          </w:tcPr>
          <w:p w14:paraId="196C2E6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250000</w:t>
            </w:r>
          </w:p>
        </w:tc>
        <w:tc>
          <w:tcPr>
            <w:tcW w:w="846" w:type="dxa"/>
            <w:tcBorders>
              <w:top w:val="nil"/>
              <w:left w:val="single" w:color="000000" w:sz="8" w:space="0"/>
              <w:bottom w:val="single" w:color="000000" w:sz="8" w:space="0"/>
              <w:right w:val="single" w:color="000000" w:sz="8" w:space="0"/>
            </w:tcBorders>
            <w:noWrap w:val="0"/>
            <w:vAlign w:val="center"/>
          </w:tcPr>
          <w:p w14:paraId="3D5988A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125000</w:t>
            </w:r>
          </w:p>
        </w:tc>
      </w:tr>
      <w:tr w14:paraId="0AEC9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2" w:hRule="atLeast"/>
          <w:jc w:val="center"/>
        </w:trPr>
        <w:tc>
          <w:tcPr>
            <w:tcW w:w="441" w:type="dxa"/>
            <w:tcBorders>
              <w:top w:val="nil"/>
              <w:left w:val="single" w:color="000000" w:sz="8" w:space="0"/>
              <w:bottom w:val="single" w:color="000000" w:sz="8" w:space="0"/>
              <w:right w:val="single" w:color="000000" w:sz="8" w:space="0"/>
            </w:tcBorders>
            <w:noWrap w:val="0"/>
            <w:vAlign w:val="center"/>
          </w:tcPr>
          <w:p w14:paraId="675BE99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492" w:type="dxa"/>
            <w:tcBorders>
              <w:top w:val="nil"/>
              <w:left w:val="single" w:color="000000" w:sz="8" w:space="0"/>
              <w:bottom w:val="single" w:color="000000" w:sz="8" w:space="0"/>
              <w:right w:val="single" w:color="000000" w:sz="8" w:space="0"/>
            </w:tcBorders>
            <w:noWrap w:val="0"/>
            <w:vAlign w:val="center"/>
          </w:tcPr>
          <w:p w14:paraId="5E6AD88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防</w:t>
            </w:r>
          </w:p>
        </w:tc>
        <w:tc>
          <w:tcPr>
            <w:tcW w:w="496" w:type="dxa"/>
            <w:tcBorders>
              <w:top w:val="nil"/>
              <w:left w:val="single" w:color="000000" w:sz="8" w:space="0"/>
              <w:bottom w:val="single" w:color="000000" w:sz="8" w:space="0"/>
              <w:right w:val="single" w:color="000000" w:sz="8" w:space="0"/>
            </w:tcBorders>
            <w:noWrap w:val="0"/>
            <w:vAlign w:val="center"/>
          </w:tcPr>
          <w:p w14:paraId="2254591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统防</w:t>
            </w:r>
          </w:p>
        </w:tc>
        <w:tc>
          <w:tcPr>
            <w:tcW w:w="816" w:type="dxa"/>
            <w:tcBorders>
              <w:top w:val="nil"/>
              <w:left w:val="single" w:color="000000" w:sz="8" w:space="0"/>
              <w:bottom w:val="single" w:color="000000" w:sz="8" w:space="0"/>
              <w:right w:val="single" w:color="000000" w:sz="8" w:space="0"/>
            </w:tcBorders>
            <w:noWrap w:val="0"/>
            <w:vAlign w:val="center"/>
          </w:tcPr>
          <w:p w14:paraId="201B4F6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35500</w:t>
            </w:r>
          </w:p>
        </w:tc>
        <w:tc>
          <w:tcPr>
            <w:tcW w:w="720" w:type="dxa"/>
            <w:tcBorders>
              <w:top w:val="nil"/>
              <w:left w:val="single" w:color="000000" w:sz="8" w:space="0"/>
              <w:bottom w:val="single" w:color="000000" w:sz="8" w:space="0"/>
              <w:right w:val="single" w:color="000000" w:sz="8" w:space="0"/>
            </w:tcBorders>
            <w:noWrap w:val="0"/>
            <w:vAlign w:val="center"/>
          </w:tcPr>
          <w:p w14:paraId="07995EC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23500</w:t>
            </w:r>
          </w:p>
        </w:tc>
        <w:tc>
          <w:tcPr>
            <w:tcW w:w="743" w:type="dxa"/>
            <w:tcBorders>
              <w:top w:val="nil"/>
              <w:left w:val="single" w:color="000000" w:sz="8" w:space="0"/>
              <w:bottom w:val="single" w:color="000000" w:sz="8" w:space="0"/>
              <w:right w:val="single" w:color="000000" w:sz="8" w:space="0"/>
            </w:tcBorders>
            <w:noWrap w:val="0"/>
            <w:vAlign w:val="center"/>
          </w:tcPr>
          <w:p w14:paraId="3555C1A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12000</w:t>
            </w:r>
          </w:p>
        </w:tc>
        <w:tc>
          <w:tcPr>
            <w:tcW w:w="862" w:type="dxa"/>
            <w:tcBorders>
              <w:top w:val="nil"/>
              <w:left w:val="single" w:color="000000" w:sz="8" w:space="0"/>
              <w:bottom w:val="single" w:color="000000" w:sz="8" w:space="0"/>
              <w:right w:val="single" w:color="000000" w:sz="8" w:space="0"/>
            </w:tcBorders>
            <w:noWrap w:val="0"/>
            <w:vAlign w:val="center"/>
          </w:tcPr>
          <w:p w14:paraId="5F6EF4C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3550</w:t>
            </w:r>
          </w:p>
        </w:tc>
        <w:tc>
          <w:tcPr>
            <w:tcW w:w="862" w:type="dxa"/>
            <w:tcBorders>
              <w:top w:val="nil"/>
              <w:left w:val="single" w:color="000000" w:sz="8" w:space="0"/>
              <w:bottom w:val="single" w:color="000000" w:sz="8" w:space="0"/>
              <w:right w:val="single" w:color="000000" w:sz="8" w:space="0"/>
            </w:tcBorders>
            <w:noWrap w:val="0"/>
            <w:vAlign w:val="center"/>
          </w:tcPr>
          <w:p w14:paraId="0A76256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2350</w:t>
            </w:r>
          </w:p>
        </w:tc>
        <w:tc>
          <w:tcPr>
            <w:tcW w:w="640" w:type="dxa"/>
            <w:tcBorders>
              <w:top w:val="nil"/>
              <w:left w:val="single" w:color="000000" w:sz="8" w:space="0"/>
              <w:bottom w:val="single" w:color="000000" w:sz="8" w:space="0"/>
              <w:right w:val="single" w:color="000000" w:sz="8" w:space="0"/>
            </w:tcBorders>
            <w:noWrap w:val="0"/>
            <w:vAlign w:val="center"/>
          </w:tcPr>
          <w:p w14:paraId="3D57AAD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1200</w:t>
            </w:r>
          </w:p>
        </w:tc>
        <w:tc>
          <w:tcPr>
            <w:tcW w:w="663" w:type="dxa"/>
            <w:tcBorders>
              <w:top w:val="nil"/>
              <w:left w:val="single" w:color="000000" w:sz="8" w:space="0"/>
              <w:bottom w:val="single" w:color="000000" w:sz="8" w:space="0"/>
              <w:right w:val="single" w:color="000000" w:sz="8" w:space="0"/>
            </w:tcBorders>
            <w:noWrap w:val="0"/>
            <w:vAlign w:val="center"/>
          </w:tcPr>
          <w:p w14:paraId="006E031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521" w:type="dxa"/>
            <w:tcBorders>
              <w:top w:val="nil"/>
              <w:left w:val="single" w:color="000000" w:sz="8" w:space="0"/>
              <w:bottom w:val="single" w:color="000000" w:sz="8" w:space="0"/>
              <w:right w:val="single" w:color="000000" w:sz="8" w:space="0"/>
            </w:tcBorders>
            <w:noWrap w:val="0"/>
            <w:vAlign w:val="center"/>
          </w:tcPr>
          <w:p w14:paraId="453BC1D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521" w:type="dxa"/>
            <w:tcBorders>
              <w:top w:val="nil"/>
              <w:left w:val="single" w:color="000000" w:sz="8" w:space="0"/>
              <w:bottom w:val="single" w:color="000000" w:sz="8" w:space="0"/>
              <w:right w:val="single" w:color="000000" w:sz="8" w:space="0"/>
            </w:tcBorders>
            <w:noWrap w:val="0"/>
            <w:vAlign w:val="center"/>
          </w:tcPr>
          <w:p w14:paraId="5CEFBA0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916" w:type="dxa"/>
            <w:tcBorders>
              <w:top w:val="nil"/>
              <w:left w:val="single" w:color="000000" w:sz="8" w:space="0"/>
              <w:bottom w:val="single" w:color="000000" w:sz="8" w:space="0"/>
              <w:right w:val="single" w:color="000000" w:sz="8" w:space="0"/>
            </w:tcBorders>
            <w:noWrap w:val="0"/>
            <w:vAlign w:val="center"/>
          </w:tcPr>
          <w:p w14:paraId="4ACB8326">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497000</w:t>
            </w:r>
          </w:p>
        </w:tc>
        <w:tc>
          <w:tcPr>
            <w:tcW w:w="916" w:type="dxa"/>
            <w:tcBorders>
              <w:top w:val="nil"/>
              <w:left w:val="single" w:color="000000" w:sz="8" w:space="0"/>
              <w:bottom w:val="single" w:color="000000" w:sz="8" w:space="0"/>
              <w:right w:val="single" w:color="000000" w:sz="8" w:space="0"/>
            </w:tcBorders>
            <w:noWrap w:val="0"/>
            <w:vAlign w:val="center"/>
          </w:tcPr>
          <w:p w14:paraId="7FD42E8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329000</w:t>
            </w:r>
          </w:p>
        </w:tc>
        <w:tc>
          <w:tcPr>
            <w:tcW w:w="846" w:type="dxa"/>
            <w:tcBorders>
              <w:top w:val="nil"/>
              <w:left w:val="single" w:color="000000" w:sz="8" w:space="0"/>
              <w:bottom w:val="single" w:color="000000" w:sz="8" w:space="0"/>
              <w:right w:val="single" w:color="000000" w:sz="8" w:space="0"/>
            </w:tcBorders>
            <w:noWrap w:val="0"/>
            <w:vAlign w:val="center"/>
          </w:tcPr>
          <w:p w14:paraId="54FCFEC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168000</w:t>
            </w:r>
          </w:p>
        </w:tc>
      </w:tr>
      <w:tr w14:paraId="4DF93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2" w:hRule="atLeast"/>
          <w:jc w:val="center"/>
        </w:trPr>
        <w:tc>
          <w:tcPr>
            <w:tcW w:w="441" w:type="dxa"/>
            <w:tcBorders>
              <w:top w:val="nil"/>
              <w:left w:val="single" w:color="000000" w:sz="8" w:space="0"/>
              <w:bottom w:val="single" w:color="000000" w:sz="8" w:space="0"/>
              <w:right w:val="single" w:color="000000" w:sz="8" w:space="0"/>
            </w:tcBorders>
            <w:noWrap w:val="0"/>
            <w:vAlign w:val="center"/>
          </w:tcPr>
          <w:p w14:paraId="729E899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492" w:type="dxa"/>
            <w:tcBorders>
              <w:top w:val="nil"/>
              <w:left w:val="single" w:color="000000" w:sz="8" w:space="0"/>
              <w:bottom w:val="single" w:color="000000" w:sz="8" w:space="0"/>
              <w:right w:val="single" w:color="000000" w:sz="8" w:space="0"/>
            </w:tcBorders>
            <w:noWrap w:val="0"/>
            <w:vAlign w:val="center"/>
          </w:tcPr>
          <w:p w14:paraId="6D01C55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收</w:t>
            </w:r>
          </w:p>
        </w:tc>
        <w:tc>
          <w:tcPr>
            <w:tcW w:w="496" w:type="dxa"/>
            <w:tcBorders>
              <w:top w:val="nil"/>
              <w:left w:val="single" w:color="000000" w:sz="8" w:space="0"/>
              <w:bottom w:val="single" w:color="000000" w:sz="8" w:space="0"/>
              <w:right w:val="single" w:color="000000" w:sz="8" w:space="0"/>
            </w:tcBorders>
            <w:noWrap w:val="0"/>
            <w:vAlign w:val="center"/>
          </w:tcPr>
          <w:p w14:paraId="667118B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机收</w:t>
            </w:r>
          </w:p>
        </w:tc>
        <w:tc>
          <w:tcPr>
            <w:tcW w:w="816" w:type="dxa"/>
            <w:tcBorders>
              <w:top w:val="nil"/>
              <w:left w:val="single" w:color="000000" w:sz="8" w:space="0"/>
              <w:bottom w:val="single" w:color="000000" w:sz="8" w:space="0"/>
              <w:right w:val="single" w:color="000000" w:sz="8" w:space="0"/>
            </w:tcBorders>
            <w:noWrap w:val="0"/>
            <w:vAlign w:val="center"/>
          </w:tcPr>
          <w:p w14:paraId="264F2CA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19560</w:t>
            </w:r>
          </w:p>
        </w:tc>
        <w:tc>
          <w:tcPr>
            <w:tcW w:w="720" w:type="dxa"/>
            <w:tcBorders>
              <w:top w:val="nil"/>
              <w:left w:val="single" w:color="000000" w:sz="8" w:space="0"/>
              <w:bottom w:val="single" w:color="000000" w:sz="8" w:space="0"/>
              <w:right w:val="single" w:color="000000" w:sz="8" w:space="0"/>
            </w:tcBorders>
            <w:noWrap w:val="0"/>
            <w:vAlign w:val="center"/>
          </w:tcPr>
          <w:p w14:paraId="42C0970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11960</w:t>
            </w:r>
          </w:p>
        </w:tc>
        <w:tc>
          <w:tcPr>
            <w:tcW w:w="743" w:type="dxa"/>
            <w:tcBorders>
              <w:top w:val="nil"/>
              <w:left w:val="single" w:color="000000" w:sz="8" w:space="0"/>
              <w:bottom w:val="single" w:color="000000" w:sz="8" w:space="0"/>
              <w:right w:val="single" w:color="000000" w:sz="8" w:space="0"/>
            </w:tcBorders>
            <w:noWrap w:val="0"/>
            <w:vAlign w:val="center"/>
          </w:tcPr>
          <w:p w14:paraId="4BF90D6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7600</w:t>
            </w:r>
          </w:p>
        </w:tc>
        <w:tc>
          <w:tcPr>
            <w:tcW w:w="862" w:type="dxa"/>
            <w:tcBorders>
              <w:top w:val="nil"/>
              <w:left w:val="single" w:color="000000" w:sz="8" w:space="0"/>
              <w:bottom w:val="single" w:color="000000" w:sz="8" w:space="0"/>
              <w:right w:val="single" w:color="000000" w:sz="8" w:space="0"/>
            </w:tcBorders>
            <w:noWrap w:val="0"/>
            <w:vAlign w:val="center"/>
          </w:tcPr>
          <w:p w14:paraId="2C7E1D2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5281.2</w:t>
            </w:r>
          </w:p>
        </w:tc>
        <w:tc>
          <w:tcPr>
            <w:tcW w:w="862" w:type="dxa"/>
            <w:tcBorders>
              <w:top w:val="nil"/>
              <w:left w:val="single" w:color="000000" w:sz="8" w:space="0"/>
              <w:bottom w:val="single" w:color="000000" w:sz="8" w:space="0"/>
              <w:right w:val="single" w:color="000000" w:sz="8" w:space="0"/>
            </w:tcBorders>
            <w:noWrap w:val="0"/>
            <w:vAlign w:val="center"/>
          </w:tcPr>
          <w:p w14:paraId="5E65606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3229.2</w:t>
            </w:r>
          </w:p>
        </w:tc>
        <w:tc>
          <w:tcPr>
            <w:tcW w:w="640" w:type="dxa"/>
            <w:tcBorders>
              <w:top w:val="nil"/>
              <w:left w:val="single" w:color="000000" w:sz="8" w:space="0"/>
              <w:bottom w:val="single" w:color="000000" w:sz="8" w:space="0"/>
              <w:right w:val="single" w:color="000000" w:sz="8" w:space="0"/>
            </w:tcBorders>
            <w:noWrap w:val="0"/>
            <w:vAlign w:val="center"/>
          </w:tcPr>
          <w:p w14:paraId="7D524658">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2052</w:t>
            </w:r>
          </w:p>
        </w:tc>
        <w:tc>
          <w:tcPr>
            <w:tcW w:w="663" w:type="dxa"/>
            <w:tcBorders>
              <w:top w:val="nil"/>
              <w:left w:val="single" w:color="000000" w:sz="8" w:space="0"/>
              <w:bottom w:val="single" w:color="000000" w:sz="8" w:space="0"/>
              <w:right w:val="single" w:color="000000" w:sz="8" w:space="0"/>
            </w:tcBorders>
            <w:noWrap w:val="0"/>
            <w:vAlign w:val="center"/>
          </w:tcPr>
          <w:p w14:paraId="7751C36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w:t>
            </w:r>
          </w:p>
        </w:tc>
        <w:tc>
          <w:tcPr>
            <w:tcW w:w="521" w:type="dxa"/>
            <w:tcBorders>
              <w:top w:val="nil"/>
              <w:left w:val="single" w:color="000000" w:sz="8" w:space="0"/>
              <w:bottom w:val="single" w:color="000000" w:sz="8" w:space="0"/>
              <w:right w:val="single" w:color="000000" w:sz="8" w:space="0"/>
            </w:tcBorders>
            <w:noWrap w:val="0"/>
            <w:vAlign w:val="center"/>
          </w:tcPr>
          <w:p w14:paraId="5E6FDAA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12.5</w:t>
            </w:r>
          </w:p>
        </w:tc>
        <w:tc>
          <w:tcPr>
            <w:tcW w:w="521" w:type="dxa"/>
            <w:tcBorders>
              <w:top w:val="nil"/>
              <w:left w:val="single" w:color="000000" w:sz="8" w:space="0"/>
              <w:bottom w:val="single" w:color="000000" w:sz="8" w:space="0"/>
              <w:right w:val="single" w:color="000000" w:sz="8" w:space="0"/>
            </w:tcBorders>
            <w:noWrap w:val="0"/>
            <w:vAlign w:val="center"/>
          </w:tcPr>
          <w:p w14:paraId="399422A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12.5</w:t>
            </w:r>
          </w:p>
        </w:tc>
        <w:tc>
          <w:tcPr>
            <w:tcW w:w="916" w:type="dxa"/>
            <w:tcBorders>
              <w:top w:val="nil"/>
              <w:left w:val="single" w:color="000000" w:sz="8" w:space="0"/>
              <w:bottom w:val="single" w:color="000000" w:sz="8" w:space="0"/>
              <w:right w:val="single" w:color="000000" w:sz="8" w:space="0"/>
            </w:tcBorders>
            <w:noWrap w:val="0"/>
            <w:vAlign w:val="center"/>
          </w:tcPr>
          <w:p w14:paraId="0E2E91B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489000</w:t>
            </w:r>
          </w:p>
        </w:tc>
        <w:tc>
          <w:tcPr>
            <w:tcW w:w="916" w:type="dxa"/>
            <w:tcBorders>
              <w:top w:val="nil"/>
              <w:left w:val="single" w:color="000000" w:sz="8" w:space="0"/>
              <w:bottom w:val="single" w:color="000000" w:sz="8" w:space="0"/>
              <w:right w:val="single" w:color="000000" w:sz="8" w:space="0"/>
            </w:tcBorders>
            <w:noWrap w:val="0"/>
            <w:vAlign w:val="center"/>
          </w:tcPr>
          <w:p w14:paraId="6743CBE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299000</w:t>
            </w:r>
          </w:p>
        </w:tc>
        <w:tc>
          <w:tcPr>
            <w:tcW w:w="846" w:type="dxa"/>
            <w:tcBorders>
              <w:top w:val="nil"/>
              <w:left w:val="single" w:color="000000" w:sz="8" w:space="0"/>
              <w:bottom w:val="single" w:color="000000" w:sz="8" w:space="0"/>
              <w:right w:val="single" w:color="000000" w:sz="8" w:space="0"/>
            </w:tcBorders>
            <w:noWrap w:val="0"/>
            <w:vAlign w:val="center"/>
          </w:tcPr>
          <w:p w14:paraId="4162252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190000</w:t>
            </w:r>
          </w:p>
        </w:tc>
      </w:tr>
      <w:tr w14:paraId="1AE3E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1429" w:type="dxa"/>
            <w:gridSpan w:val="3"/>
            <w:tcBorders>
              <w:top w:val="nil"/>
              <w:left w:val="single" w:color="000000" w:sz="8" w:space="0"/>
              <w:bottom w:val="single" w:color="000000" w:sz="8" w:space="0"/>
              <w:right w:val="single" w:color="000000" w:sz="8" w:space="0"/>
            </w:tcBorders>
            <w:noWrap w:val="0"/>
            <w:vAlign w:val="center"/>
          </w:tcPr>
          <w:p w14:paraId="04EC3256">
            <w:pPr>
              <w:keepNext w:val="0"/>
              <w:keepLines w:val="0"/>
              <w:widowControl/>
              <w:suppressLineNumbers w:val="0"/>
              <w:jc w:val="center"/>
              <w:textAlignment w:val="center"/>
              <w:rPr>
                <w:rFonts w:hint="default" w:ascii="Times New Roman" w:hAnsi="Times New Roman" w:eastAsia="仿宋_GB2312" w:cs="Times New Roman"/>
                <w:i w:val="0"/>
                <w:iCs w:val="0"/>
                <w:color w:val="000000"/>
                <w:sz w:val="18"/>
                <w:szCs w:val="18"/>
                <w:u w:val="none"/>
              </w:rPr>
            </w:pPr>
            <w:r>
              <w:rPr>
                <w:rFonts w:hint="default" w:ascii="Times New Roman" w:hAnsi="Times New Roman" w:eastAsia="仿宋_GB2312" w:cs="Times New Roman"/>
                <w:i w:val="0"/>
                <w:iCs w:val="0"/>
                <w:color w:val="000000"/>
                <w:kern w:val="0"/>
                <w:sz w:val="18"/>
                <w:szCs w:val="18"/>
                <w:u w:val="none"/>
                <w:lang w:val="en-US" w:eastAsia="zh-CN" w:bidi="ar"/>
              </w:rPr>
              <w:t>合计</w:t>
            </w:r>
          </w:p>
        </w:tc>
        <w:tc>
          <w:tcPr>
            <w:tcW w:w="816" w:type="dxa"/>
            <w:tcBorders>
              <w:top w:val="nil"/>
              <w:left w:val="single" w:color="000000" w:sz="8" w:space="0"/>
              <w:bottom w:val="single" w:color="000000" w:sz="8" w:space="0"/>
              <w:right w:val="single" w:color="000000" w:sz="8" w:space="0"/>
            </w:tcBorders>
            <w:noWrap w:val="0"/>
            <w:vAlign w:val="center"/>
          </w:tcPr>
          <w:p w14:paraId="6347C12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108560</w:t>
            </w:r>
          </w:p>
        </w:tc>
        <w:tc>
          <w:tcPr>
            <w:tcW w:w="720" w:type="dxa"/>
            <w:tcBorders>
              <w:top w:val="nil"/>
              <w:left w:val="single" w:color="000000" w:sz="8" w:space="0"/>
              <w:bottom w:val="single" w:color="000000" w:sz="8" w:space="0"/>
              <w:right w:val="single" w:color="000000" w:sz="8" w:space="0"/>
            </w:tcBorders>
            <w:noWrap w:val="0"/>
            <w:vAlign w:val="center"/>
          </w:tcPr>
          <w:p w14:paraId="7808DB2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70960</w:t>
            </w:r>
          </w:p>
        </w:tc>
        <w:tc>
          <w:tcPr>
            <w:tcW w:w="743" w:type="dxa"/>
            <w:tcBorders>
              <w:top w:val="nil"/>
              <w:left w:val="single" w:color="000000" w:sz="8" w:space="0"/>
              <w:bottom w:val="single" w:color="000000" w:sz="8" w:space="0"/>
              <w:right w:val="single" w:color="000000" w:sz="8" w:space="0"/>
            </w:tcBorders>
            <w:noWrap w:val="0"/>
            <w:vAlign w:val="center"/>
          </w:tcPr>
          <w:p w14:paraId="0806895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37600</w:t>
            </w:r>
          </w:p>
        </w:tc>
        <w:tc>
          <w:tcPr>
            <w:tcW w:w="862" w:type="dxa"/>
            <w:tcBorders>
              <w:top w:val="nil"/>
              <w:left w:val="single" w:color="000000" w:sz="8" w:space="0"/>
              <w:bottom w:val="single" w:color="000000" w:sz="8" w:space="0"/>
              <w:right w:val="single" w:color="000000" w:sz="8" w:space="0"/>
            </w:tcBorders>
            <w:noWrap w:val="0"/>
            <w:vAlign w:val="center"/>
          </w:tcPr>
          <w:p w14:paraId="3442E2D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25391.2</w:t>
            </w:r>
          </w:p>
        </w:tc>
        <w:tc>
          <w:tcPr>
            <w:tcW w:w="862" w:type="dxa"/>
            <w:tcBorders>
              <w:top w:val="nil"/>
              <w:left w:val="single" w:color="000000" w:sz="8" w:space="0"/>
              <w:bottom w:val="single" w:color="000000" w:sz="8" w:space="0"/>
              <w:right w:val="single" w:color="000000" w:sz="8" w:space="0"/>
            </w:tcBorders>
            <w:noWrap w:val="0"/>
            <w:vAlign w:val="center"/>
          </w:tcPr>
          <w:p w14:paraId="4ED2F57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16559.2</w:t>
            </w:r>
          </w:p>
        </w:tc>
        <w:tc>
          <w:tcPr>
            <w:tcW w:w="640" w:type="dxa"/>
            <w:tcBorders>
              <w:top w:val="nil"/>
              <w:left w:val="single" w:color="000000" w:sz="8" w:space="0"/>
              <w:bottom w:val="single" w:color="000000" w:sz="8" w:space="0"/>
              <w:right w:val="single" w:color="000000" w:sz="8" w:space="0"/>
            </w:tcBorders>
            <w:noWrap w:val="0"/>
            <w:vAlign w:val="center"/>
          </w:tcPr>
          <w:p w14:paraId="452A9DFF">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8832</w:t>
            </w:r>
          </w:p>
        </w:tc>
        <w:tc>
          <w:tcPr>
            <w:tcW w:w="663" w:type="dxa"/>
            <w:tcBorders>
              <w:top w:val="nil"/>
              <w:left w:val="single" w:color="000000" w:sz="8" w:space="0"/>
              <w:bottom w:val="single" w:color="000000" w:sz="8" w:space="0"/>
              <w:right w:val="single" w:color="000000" w:sz="8" w:space="0"/>
            </w:tcBorders>
            <w:noWrap w:val="0"/>
            <w:vAlign w:val="center"/>
          </w:tcPr>
          <w:p w14:paraId="041BA708">
            <w:pPr>
              <w:jc w:val="center"/>
              <w:rPr>
                <w:rFonts w:hint="default" w:ascii="Times New Roman" w:hAnsi="Times New Roman" w:eastAsia="宋体" w:cs="Times New Roman"/>
                <w:i w:val="0"/>
                <w:iCs w:val="0"/>
                <w:color w:val="000000"/>
                <w:sz w:val="18"/>
                <w:szCs w:val="18"/>
                <w:u w:val="none"/>
              </w:rPr>
            </w:pPr>
          </w:p>
        </w:tc>
        <w:tc>
          <w:tcPr>
            <w:tcW w:w="521" w:type="dxa"/>
            <w:tcBorders>
              <w:top w:val="nil"/>
              <w:left w:val="single" w:color="000000" w:sz="8" w:space="0"/>
              <w:bottom w:val="single" w:color="000000" w:sz="8" w:space="0"/>
              <w:right w:val="single" w:color="000000" w:sz="8" w:space="0"/>
            </w:tcBorders>
            <w:noWrap w:val="0"/>
            <w:vAlign w:val="center"/>
          </w:tcPr>
          <w:p w14:paraId="2B9D1D47">
            <w:pPr>
              <w:jc w:val="center"/>
              <w:rPr>
                <w:rFonts w:hint="default" w:ascii="Times New Roman" w:hAnsi="Times New Roman" w:eastAsia="宋体" w:cs="Times New Roman"/>
                <w:i w:val="0"/>
                <w:iCs w:val="0"/>
                <w:color w:val="000000"/>
                <w:sz w:val="18"/>
                <w:szCs w:val="18"/>
                <w:u w:val="none"/>
              </w:rPr>
            </w:pPr>
          </w:p>
        </w:tc>
        <w:tc>
          <w:tcPr>
            <w:tcW w:w="521" w:type="dxa"/>
            <w:tcBorders>
              <w:top w:val="nil"/>
              <w:left w:val="single" w:color="000000" w:sz="8" w:space="0"/>
              <w:bottom w:val="single" w:color="000000" w:sz="8" w:space="0"/>
              <w:right w:val="single" w:color="000000" w:sz="8" w:space="0"/>
            </w:tcBorders>
            <w:noWrap w:val="0"/>
            <w:vAlign w:val="center"/>
          </w:tcPr>
          <w:p w14:paraId="3AFFADE3">
            <w:pPr>
              <w:jc w:val="center"/>
              <w:rPr>
                <w:rFonts w:hint="default" w:ascii="Times New Roman" w:hAnsi="Times New Roman" w:eastAsia="宋体" w:cs="Times New Roman"/>
                <w:i w:val="0"/>
                <w:iCs w:val="0"/>
                <w:color w:val="000000"/>
                <w:sz w:val="18"/>
                <w:szCs w:val="18"/>
                <w:u w:val="none"/>
              </w:rPr>
            </w:pPr>
          </w:p>
        </w:tc>
        <w:tc>
          <w:tcPr>
            <w:tcW w:w="916" w:type="dxa"/>
            <w:tcBorders>
              <w:top w:val="nil"/>
              <w:left w:val="single" w:color="000000" w:sz="8" w:space="0"/>
              <w:bottom w:val="single" w:color="000000" w:sz="8" w:space="0"/>
              <w:right w:val="single" w:color="000000" w:sz="8" w:space="0"/>
            </w:tcBorders>
            <w:noWrap w:val="0"/>
            <w:vAlign w:val="center"/>
          </w:tcPr>
          <w:p w14:paraId="58651CD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2300000</w:t>
            </w:r>
          </w:p>
        </w:tc>
        <w:tc>
          <w:tcPr>
            <w:tcW w:w="916" w:type="dxa"/>
            <w:tcBorders>
              <w:top w:val="nil"/>
              <w:left w:val="single" w:color="000000" w:sz="8" w:space="0"/>
              <w:bottom w:val="single" w:color="000000" w:sz="8" w:space="0"/>
              <w:right w:val="single" w:color="000000" w:sz="8" w:space="0"/>
            </w:tcBorders>
            <w:noWrap w:val="0"/>
            <w:vAlign w:val="center"/>
          </w:tcPr>
          <w:p w14:paraId="7BC0DC0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1500000</w:t>
            </w:r>
          </w:p>
        </w:tc>
        <w:tc>
          <w:tcPr>
            <w:tcW w:w="846" w:type="dxa"/>
            <w:tcBorders>
              <w:top w:val="nil"/>
              <w:left w:val="single" w:color="000000" w:sz="8" w:space="0"/>
              <w:bottom w:val="single" w:color="000000" w:sz="8" w:space="0"/>
              <w:right w:val="single" w:color="000000" w:sz="8" w:space="0"/>
            </w:tcBorders>
            <w:noWrap w:val="0"/>
            <w:vAlign w:val="center"/>
          </w:tcPr>
          <w:p w14:paraId="608FBC64">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800000</w:t>
            </w:r>
          </w:p>
        </w:tc>
      </w:tr>
    </w:tbl>
    <w:p w14:paraId="10A8023C">
      <w:pPr>
        <w:pStyle w:val="43"/>
        <w:bidi w:val="0"/>
        <w:rPr>
          <w:rFonts w:hint="default"/>
          <w:lang w:val="en-US" w:eastAsia="zh-CN"/>
        </w:rPr>
      </w:pPr>
      <w:r>
        <w:rPr>
          <w:rFonts w:hint="default"/>
        </w:rPr>
        <w:t>（</w:t>
      </w:r>
      <w:r>
        <w:rPr>
          <w:rFonts w:hint="default"/>
          <w:lang w:val="en-US" w:eastAsia="zh-CN"/>
        </w:rPr>
        <w:t>六</w:t>
      </w:r>
      <w:r>
        <w:rPr>
          <w:rFonts w:hint="default"/>
        </w:rPr>
        <w:t>）</w:t>
      </w:r>
      <w:r>
        <w:rPr>
          <w:rFonts w:hint="default"/>
          <w:lang w:val="en-US" w:eastAsia="zh-CN"/>
        </w:rPr>
        <w:t>项目实施进度</w:t>
      </w:r>
    </w:p>
    <w:p w14:paraId="7E620483">
      <w:pPr>
        <w:pStyle w:val="40"/>
        <w:bidi w:val="0"/>
        <w:jc w:val="left"/>
        <w:rPr>
          <w:rFonts w:hint="default"/>
        </w:rPr>
      </w:pPr>
      <w:r>
        <w:rPr>
          <w:rFonts w:hint="default"/>
          <w:lang w:val="en-US" w:eastAsia="zh-CN"/>
        </w:rPr>
        <w:t>202</w:t>
      </w:r>
      <w:r>
        <w:rPr>
          <w:rFonts w:hint="eastAsia"/>
          <w:lang w:val="en-US" w:eastAsia="zh-CN"/>
        </w:rPr>
        <w:t>4</w:t>
      </w:r>
      <w:r>
        <w:rPr>
          <w:rFonts w:hint="default"/>
          <w:lang w:val="en-US" w:eastAsia="zh-CN"/>
        </w:rPr>
        <w:t>年1</w:t>
      </w:r>
      <w:r>
        <w:rPr>
          <w:rFonts w:hint="eastAsia"/>
          <w:lang w:val="en-US" w:eastAsia="zh-CN"/>
        </w:rPr>
        <w:t>0</w:t>
      </w:r>
      <w:r>
        <w:rPr>
          <w:rFonts w:hint="default"/>
          <w:lang w:val="en-US" w:eastAsia="zh-CN"/>
        </w:rPr>
        <w:t>月底前完成方案的制定、备案、公告、优选主体、项目合同的签订。202</w:t>
      </w:r>
      <w:r>
        <w:rPr>
          <w:rFonts w:hint="eastAsia"/>
          <w:lang w:val="en-US" w:eastAsia="zh-CN"/>
        </w:rPr>
        <w:t>4</w:t>
      </w:r>
      <w:r>
        <w:rPr>
          <w:rFonts w:hint="default"/>
          <w:lang w:val="en-US" w:eastAsia="zh-CN"/>
        </w:rPr>
        <w:t>年12月底前</w:t>
      </w:r>
      <w:r>
        <w:rPr>
          <w:rFonts w:hint="default"/>
        </w:rPr>
        <w:t>完成农业生产托管服务面积不低于</w:t>
      </w:r>
      <w:r>
        <w:rPr>
          <w:rFonts w:hint="eastAsia"/>
          <w:lang w:val="en-US" w:eastAsia="zh-CN"/>
        </w:rPr>
        <w:t>2.52</w:t>
      </w:r>
      <w:r>
        <w:rPr>
          <w:rFonts w:hint="default"/>
        </w:rPr>
        <w:t>万亩</w:t>
      </w:r>
      <w:r>
        <w:rPr>
          <w:rFonts w:hint="default"/>
          <w:lang w:eastAsia="zh-CN"/>
        </w:rPr>
        <w:t>。</w:t>
      </w:r>
    </w:p>
    <w:p w14:paraId="7289FD12">
      <w:pPr>
        <w:pStyle w:val="42"/>
        <w:bidi w:val="0"/>
        <w:ind w:left="0" w:leftChars="0" w:firstLine="640" w:firstLineChars="200"/>
        <w:rPr>
          <w:rFonts w:hint="default"/>
        </w:rPr>
      </w:pPr>
      <w:r>
        <w:rPr>
          <w:rFonts w:hint="default"/>
        </w:rPr>
        <w:t>四、项目实施流程</w:t>
      </w:r>
    </w:p>
    <w:p w14:paraId="52575879">
      <w:pPr>
        <w:pStyle w:val="43"/>
        <w:bidi w:val="0"/>
        <w:rPr>
          <w:rFonts w:hint="default"/>
        </w:rPr>
      </w:pPr>
      <w:r>
        <w:rPr>
          <w:rFonts w:hint="default"/>
          <w:lang w:eastAsia="zh-CN"/>
        </w:rPr>
        <w:t>（</w:t>
      </w:r>
      <w:r>
        <w:rPr>
          <w:rFonts w:hint="default"/>
          <w:lang w:val="en-US" w:eastAsia="zh-CN"/>
        </w:rPr>
        <w:t>一</w:t>
      </w:r>
      <w:r>
        <w:rPr>
          <w:rFonts w:hint="default"/>
          <w:lang w:eastAsia="zh-CN"/>
        </w:rPr>
        <w:t>）</w:t>
      </w:r>
      <w:r>
        <w:rPr>
          <w:rFonts w:hint="default"/>
        </w:rPr>
        <w:t>项目准备阶段</w:t>
      </w:r>
    </w:p>
    <w:p w14:paraId="2866391F">
      <w:pPr>
        <w:pStyle w:val="40"/>
        <w:bidi w:val="0"/>
        <w:rPr>
          <w:rFonts w:hint="default"/>
        </w:rPr>
      </w:pPr>
      <w:r>
        <w:rPr>
          <w:rFonts w:hint="default"/>
        </w:rPr>
        <w:t>前期已开展全县服务主体服务能力摸底调查，充分挖掘其服务潜力，督促服务主体提前谋划，及时做好与镇（街道）、村组、服务对象的对接，同时加大宣传力度，提升服务对象接受农业生产托管服务意识。</w:t>
      </w:r>
    </w:p>
    <w:p w14:paraId="3881A596">
      <w:pPr>
        <w:pStyle w:val="43"/>
        <w:bidi w:val="0"/>
        <w:rPr>
          <w:rFonts w:hint="default"/>
        </w:rPr>
      </w:pPr>
      <w:r>
        <w:rPr>
          <w:rFonts w:hint="default"/>
        </w:rPr>
        <w:t>（二）项目实施阶段</w:t>
      </w:r>
    </w:p>
    <w:p w14:paraId="29C9A9B8">
      <w:pPr>
        <w:pStyle w:val="40"/>
        <w:bidi w:val="0"/>
        <w:rPr>
          <w:rFonts w:hint="default"/>
        </w:rPr>
      </w:pPr>
      <w:r>
        <w:rPr>
          <w:rFonts w:hint="default"/>
        </w:rPr>
        <w:t>1.</w:t>
      </w:r>
      <w:r>
        <w:rPr>
          <w:rFonts w:hint="eastAsia"/>
          <w:lang w:eastAsia="zh-CN"/>
        </w:rPr>
        <w:t>优选</w:t>
      </w:r>
      <w:r>
        <w:rPr>
          <w:rFonts w:hint="default"/>
        </w:rPr>
        <w:t>服务主体</w:t>
      </w:r>
    </w:p>
    <w:p w14:paraId="2A205313">
      <w:pPr>
        <w:pStyle w:val="40"/>
        <w:bidi w:val="0"/>
        <w:rPr>
          <w:rFonts w:hint="default"/>
        </w:rPr>
      </w:pPr>
      <w:r>
        <w:rPr>
          <w:rFonts w:hint="default"/>
        </w:rPr>
        <w:t>通过政府门户网站、向相关镇</w:t>
      </w:r>
      <w:r>
        <w:rPr>
          <w:rFonts w:hint="default"/>
          <w:lang w:eastAsia="zh-CN"/>
        </w:rPr>
        <w:t>（街道）</w:t>
      </w:r>
      <w:r>
        <w:rPr>
          <w:rFonts w:hint="default"/>
        </w:rPr>
        <w:t>发函等及时向社会发布优选服务主体的公告，对服务内容、程序及实施主体申报条件等进行发布，各镇（街道）组织推荐符合条件的社会化服务主体进行申报，并出具推荐函。县农业农村局按照《四川省农业生产托管服务规程指引（修订版）》要求，遵循</w:t>
      </w:r>
      <w:r>
        <w:rPr>
          <w:rFonts w:hint="eastAsia"/>
          <w:lang w:eastAsia="zh-CN"/>
        </w:rPr>
        <w:t>“</w:t>
      </w:r>
      <w:r>
        <w:rPr>
          <w:rFonts w:hint="default"/>
        </w:rPr>
        <w:t>公开、公平、公正</w:t>
      </w:r>
      <w:r>
        <w:rPr>
          <w:rFonts w:hint="eastAsia"/>
          <w:lang w:eastAsia="zh-CN"/>
        </w:rPr>
        <w:t>”</w:t>
      </w:r>
      <w:r>
        <w:rPr>
          <w:rFonts w:hint="default"/>
        </w:rPr>
        <w:t>的原则，采取专家评审的方式，择优选择有服务经验、服务能力强、农户满意度高、价格公道的服务主体</w:t>
      </w:r>
      <w:r>
        <w:rPr>
          <w:rFonts w:hint="eastAsia"/>
          <w:lang w:eastAsia="zh-CN"/>
        </w:rPr>
        <w:t>，</w:t>
      </w:r>
      <w:r>
        <w:rPr>
          <w:rFonts w:hint="default"/>
        </w:rPr>
        <w:t>每个环节确定的服务主体原则上不少于3个</w:t>
      </w:r>
      <w:r>
        <w:rPr>
          <w:rFonts w:hint="eastAsia"/>
          <w:lang w:eastAsia="zh-CN"/>
        </w:rPr>
        <w:t>。</w:t>
      </w:r>
      <w:r>
        <w:rPr>
          <w:rFonts w:hint="default"/>
          <w:lang w:val="en-US" w:eastAsia="zh-CN"/>
        </w:rPr>
        <w:t>县</w:t>
      </w:r>
      <w:r>
        <w:rPr>
          <w:rFonts w:hint="default"/>
        </w:rPr>
        <w:t>供销</w:t>
      </w:r>
      <w:r>
        <w:rPr>
          <w:rFonts w:hint="default"/>
          <w:lang w:val="en-US" w:eastAsia="zh-CN"/>
        </w:rPr>
        <w:t>社</w:t>
      </w:r>
      <w:r>
        <w:rPr>
          <w:rFonts w:hint="default"/>
        </w:rPr>
        <w:t>承担202</w:t>
      </w:r>
      <w:r>
        <w:rPr>
          <w:rFonts w:hint="eastAsia"/>
          <w:lang w:val="en-US" w:eastAsia="zh-CN"/>
        </w:rPr>
        <w:t>4</w:t>
      </w:r>
      <w:r>
        <w:rPr>
          <w:rFonts w:hint="default"/>
        </w:rPr>
        <w:t>年度供销合作社农业社会化服务项目的服务主体，由县级供销合作社在供销社主体名录库中遴选确定，需</w:t>
      </w:r>
      <w:r>
        <w:rPr>
          <w:rFonts w:hint="eastAsia"/>
          <w:lang w:val="en-US" w:eastAsia="zh-CN"/>
        </w:rPr>
        <w:t>为</w:t>
      </w:r>
      <w:r>
        <w:rPr>
          <w:rFonts w:hint="default"/>
        </w:rPr>
        <w:t>在工商部门登记注册的基层供销合作社或社有企业。并通过政府门户网站公示，公示期不少于5个工作日。县农业农村局、县供销社与服务主体签订服务</w:t>
      </w:r>
      <w:r>
        <w:rPr>
          <w:rFonts w:hint="default"/>
          <w:lang w:eastAsia="zh-CN"/>
        </w:rPr>
        <w:t>项目</w:t>
      </w:r>
      <w:r>
        <w:rPr>
          <w:rFonts w:hint="default"/>
        </w:rPr>
        <w:t>合同，明确购买服务的数量、质量、补助标准、任务</w:t>
      </w:r>
      <w:r>
        <w:rPr>
          <w:rFonts w:hint="eastAsia"/>
          <w:lang w:val="en-US" w:eastAsia="zh-CN"/>
        </w:rPr>
        <w:t>抽查复核</w:t>
      </w:r>
      <w:r>
        <w:rPr>
          <w:rFonts w:hint="default"/>
        </w:rPr>
        <w:t>确认等。</w:t>
      </w:r>
    </w:p>
    <w:p w14:paraId="5AEFC8EC">
      <w:pPr>
        <w:pStyle w:val="40"/>
        <w:bidi w:val="0"/>
        <w:rPr>
          <w:rFonts w:hint="default"/>
        </w:rPr>
      </w:pPr>
      <w:r>
        <w:rPr>
          <w:rFonts w:hint="default"/>
          <w:lang w:val="en-US" w:eastAsia="zh-CN"/>
        </w:rPr>
        <w:t>2.</w:t>
      </w:r>
      <w:r>
        <w:rPr>
          <w:rFonts w:hint="default"/>
        </w:rPr>
        <w:t>监督项目实施</w:t>
      </w:r>
    </w:p>
    <w:p w14:paraId="5168F4D1">
      <w:pPr>
        <w:pStyle w:val="40"/>
        <w:bidi w:val="0"/>
        <w:rPr>
          <w:rFonts w:hint="default"/>
        </w:rPr>
      </w:pPr>
      <w:r>
        <w:rPr>
          <w:rFonts w:hint="default"/>
        </w:rPr>
        <w:t>服务主体需与农户等服务对象签订服务合同，在服务过程中必须填写服务日志，详细记录</w:t>
      </w:r>
      <w:r>
        <w:rPr>
          <w:rFonts w:hint="eastAsia"/>
          <w:lang w:val="en-US" w:eastAsia="zh-CN"/>
        </w:rPr>
        <w:t>服务</w:t>
      </w:r>
      <w:r>
        <w:rPr>
          <w:rFonts w:hint="default"/>
        </w:rPr>
        <w:t>对象</w:t>
      </w:r>
      <w:r>
        <w:rPr>
          <w:rFonts w:hint="eastAsia"/>
          <w:lang w:val="en-US" w:eastAsia="zh-CN"/>
        </w:rPr>
        <w:t>姓名</w:t>
      </w:r>
      <w:r>
        <w:rPr>
          <w:rFonts w:hint="eastAsia"/>
          <w:lang w:eastAsia="zh-CN"/>
        </w:rPr>
        <w:t>、</w:t>
      </w:r>
      <w:r>
        <w:rPr>
          <w:rFonts w:hint="eastAsia"/>
          <w:lang w:val="en-US" w:eastAsia="zh-CN"/>
        </w:rPr>
        <w:t>社保卡号码</w:t>
      </w:r>
      <w:r>
        <w:rPr>
          <w:rFonts w:hint="eastAsia"/>
          <w:lang w:eastAsia="zh-CN"/>
        </w:rPr>
        <w:t>（</w:t>
      </w:r>
      <w:r>
        <w:rPr>
          <w:rFonts w:hint="eastAsia"/>
          <w:lang w:val="en-US" w:eastAsia="zh-CN"/>
        </w:rPr>
        <w:t>以便将应补助给服务对象的补助资金发放到户</w:t>
      </w:r>
      <w:r>
        <w:rPr>
          <w:rFonts w:hint="eastAsia"/>
          <w:lang w:eastAsia="zh-CN"/>
        </w:rPr>
        <w:t>）</w:t>
      </w:r>
      <w:r>
        <w:rPr>
          <w:rFonts w:hint="default"/>
        </w:rPr>
        <w:t>、</w:t>
      </w:r>
      <w:r>
        <w:rPr>
          <w:rFonts w:hint="eastAsia"/>
          <w:lang w:val="en-US" w:eastAsia="zh-CN"/>
        </w:rPr>
        <w:t>服务</w:t>
      </w:r>
      <w:r>
        <w:rPr>
          <w:rFonts w:hint="default"/>
        </w:rPr>
        <w:t>面积、</w:t>
      </w:r>
      <w:r>
        <w:rPr>
          <w:rFonts w:hint="eastAsia"/>
          <w:lang w:val="en-US" w:eastAsia="zh-CN"/>
        </w:rPr>
        <w:t>服务</w:t>
      </w:r>
      <w:r>
        <w:rPr>
          <w:rFonts w:hint="default"/>
        </w:rPr>
        <w:t>地点、服务效果，服务结束后需服务对象签字确认</w:t>
      </w:r>
      <w:r>
        <w:rPr>
          <w:rFonts w:hint="eastAsia"/>
          <w:lang w:eastAsia="zh-CN"/>
        </w:rPr>
        <w:t>，</w:t>
      </w:r>
      <w:r>
        <w:rPr>
          <w:rFonts w:hint="default"/>
        </w:rPr>
        <w:t>服务项目当季服务完成后，服务主体根据实际实施服务情况，并附托管服务合同、服务日志以及相关动态影像资料图片向相关镇</w:t>
      </w:r>
      <w:r>
        <w:rPr>
          <w:rFonts w:hint="default"/>
          <w:lang w:eastAsia="zh-CN"/>
        </w:rPr>
        <w:t>（街道）</w:t>
      </w:r>
      <w:r>
        <w:rPr>
          <w:rFonts w:hint="default"/>
        </w:rPr>
        <w:t>申请核查</w:t>
      </w:r>
      <w:r>
        <w:rPr>
          <w:rFonts w:hint="eastAsia"/>
          <w:lang w:eastAsia="zh-CN"/>
        </w:rPr>
        <w:t>（</w:t>
      </w:r>
      <w:r>
        <w:rPr>
          <w:rFonts w:hint="eastAsia"/>
          <w:lang w:val="en-US" w:eastAsia="zh-CN"/>
        </w:rPr>
        <w:t>单个服务环节</w:t>
      </w:r>
      <w:r>
        <w:rPr>
          <w:rFonts w:hint="eastAsia"/>
          <w:lang w:eastAsia="zh-CN"/>
        </w:rPr>
        <w:t>完成服务任务</w:t>
      </w:r>
      <w:r>
        <w:rPr>
          <w:rFonts w:hint="eastAsia"/>
          <w:lang w:val="en-US" w:eastAsia="zh-CN"/>
        </w:rPr>
        <w:t>80%以上方可申请抽查复核</w:t>
      </w:r>
      <w:r>
        <w:rPr>
          <w:rFonts w:hint="eastAsia"/>
          <w:lang w:eastAsia="zh-CN"/>
        </w:rPr>
        <w:t>）</w:t>
      </w:r>
      <w:r>
        <w:rPr>
          <w:rFonts w:hint="default"/>
        </w:rPr>
        <w:t>。各镇</w:t>
      </w:r>
      <w:r>
        <w:rPr>
          <w:rFonts w:hint="eastAsia"/>
          <w:lang w:eastAsia="zh-CN"/>
        </w:rPr>
        <w:t>（</w:t>
      </w:r>
      <w:r>
        <w:rPr>
          <w:rFonts w:hint="eastAsia"/>
          <w:lang w:val="en-US" w:eastAsia="zh-CN"/>
        </w:rPr>
        <w:t>街道</w:t>
      </w:r>
      <w:r>
        <w:rPr>
          <w:rFonts w:hint="eastAsia"/>
          <w:lang w:eastAsia="zh-CN"/>
        </w:rPr>
        <w:t>）</w:t>
      </w:r>
      <w:r>
        <w:rPr>
          <w:rFonts w:hint="default"/>
        </w:rPr>
        <w:t>负责组织项目核查工作。经各镇</w:t>
      </w:r>
      <w:r>
        <w:rPr>
          <w:rFonts w:hint="eastAsia"/>
          <w:lang w:eastAsia="zh-CN"/>
        </w:rPr>
        <w:t>（</w:t>
      </w:r>
      <w:r>
        <w:rPr>
          <w:rFonts w:hint="eastAsia"/>
          <w:lang w:val="en-US" w:eastAsia="zh-CN"/>
        </w:rPr>
        <w:t>街道</w:t>
      </w:r>
      <w:r>
        <w:rPr>
          <w:rFonts w:hint="eastAsia"/>
          <w:lang w:eastAsia="zh-CN"/>
        </w:rPr>
        <w:t>）</w:t>
      </w:r>
      <w:r>
        <w:rPr>
          <w:rFonts w:hint="default"/>
        </w:rPr>
        <w:t>、村分别公示5个工作日无异议后，连同复核申请、核查结果报告、各镇（街道）、村公示图片等资料</w:t>
      </w:r>
      <w:r>
        <w:rPr>
          <w:rFonts w:hint="default"/>
          <w:lang w:eastAsia="zh-CN"/>
        </w:rPr>
        <w:t>分别报送</w:t>
      </w:r>
      <w:r>
        <w:rPr>
          <w:rFonts w:hint="default"/>
        </w:rPr>
        <w:t>县农业农村局</w:t>
      </w:r>
      <w:r>
        <w:rPr>
          <w:rFonts w:hint="default"/>
          <w:lang w:eastAsia="zh-CN"/>
        </w:rPr>
        <w:t>、</w:t>
      </w:r>
      <w:r>
        <w:rPr>
          <w:rFonts w:hint="default"/>
        </w:rPr>
        <w:t>县供销社。</w:t>
      </w:r>
    </w:p>
    <w:p w14:paraId="251689AB">
      <w:pPr>
        <w:pStyle w:val="43"/>
        <w:bidi w:val="0"/>
        <w:rPr>
          <w:rFonts w:hint="eastAsia" w:eastAsia="楷体_GB2312"/>
          <w:lang w:eastAsia="zh-CN"/>
        </w:rPr>
      </w:pPr>
      <w:r>
        <w:rPr>
          <w:rFonts w:hint="default"/>
        </w:rPr>
        <w:t>（三）项目</w:t>
      </w:r>
      <w:r>
        <w:rPr>
          <w:rFonts w:hint="eastAsia"/>
          <w:lang w:val="en-US" w:eastAsia="zh-CN"/>
        </w:rPr>
        <w:t>抽查复核</w:t>
      </w:r>
    </w:p>
    <w:p w14:paraId="6EA487E3">
      <w:pPr>
        <w:pStyle w:val="40"/>
        <w:bidi w:val="0"/>
        <w:rPr>
          <w:rFonts w:hint="default"/>
        </w:rPr>
      </w:pPr>
      <w:r>
        <w:rPr>
          <w:rFonts w:hint="default"/>
        </w:rPr>
        <w:t>收到服务主体复核申请后，县农业农村局、县供销社</w:t>
      </w:r>
      <w:r>
        <w:rPr>
          <w:rFonts w:hint="eastAsia"/>
          <w:lang w:val="en-US" w:eastAsia="zh-CN"/>
        </w:rPr>
        <w:t>会同县财政局</w:t>
      </w:r>
      <w:r>
        <w:rPr>
          <w:rFonts w:hint="default"/>
        </w:rPr>
        <w:t>组织开展</w:t>
      </w:r>
      <w:r>
        <w:rPr>
          <w:rFonts w:hint="eastAsia"/>
          <w:lang w:val="en-US" w:eastAsia="zh-CN"/>
        </w:rPr>
        <w:t>抽查</w:t>
      </w:r>
      <w:r>
        <w:rPr>
          <w:rFonts w:hint="default"/>
        </w:rPr>
        <w:t>复核，</w:t>
      </w:r>
      <w:r>
        <w:rPr>
          <w:rFonts w:hint="eastAsia"/>
          <w:lang w:val="en-US" w:eastAsia="zh-CN"/>
        </w:rPr>
        <w:t>抽查复核面积不低于任务面积</w:t>
      </w:r>
      <w:r>
        <w:rPr>
          <w:rFonts w:hint="default"/>
        </w:rPr>
        <w:t>的10%。</w:t>
      </w:r>
      <w:r>
        <w:rPr>
          <w:rFonts w:hint="eastAsia"/>
          <w:lang w:val="en-US" w:eastAsia="zh-CN"/>
        </w:rPr>
        <w:t>复核</w:t>
      </w:r>
      <w:r>
        <w:rPr>
          <w:rFonts w:hint="default"/>
        </w:rPr>
        <w:t>合格后，</w:t>
      </w:r>
      <w:r>
        <w:rPr>
          <w:rFonts w:hint="default"/>
          <w:lang w:val="en-US" w:eastAsia="zh-CN"/>
        </w:rPr>
        <w:t>县农业农村局、县供销社分别按程序申报补助资金</w:t>
      </w:r>
      <w:r>
        <w:rPr>
          <w:rFonts w:hint="default"/>
        </w:rPr>
        <w:t>；</w:t>
      </w:r>
      <w:r>
        <w:rPr>
          <w:rFonts w:hint="eastAsia"/>
          <w:lang w:val="en-US" w:eastAsia="zh-CN"/>
        </w:rPr>
        <w:t>复核</w:t>
      </w:r>
      <w:r>
        <w:rPr>
          <w:rFonts w:hint="default"/>
        </w:rPr>
        <w:t>不合格的，要限期整改，整改后仍然不合格的，不予拨付项目补助资金。</w:t>
      </w:r>
    </w:p>
    <w:p w14:paraId="18E98C04">
      <w:pPr>
        <w:pStyle w:val="43"/>
        <w:bidi w:val="0"/>
        <w:rPr>
          <w:rFonts w:hint="default"/>
        </w:rPr>
      </w:pPr>
      <w:r>
        <w:rPr>
          <w:rFonts w:hint="default"/>
          <w:lang w:eastAsia="zh-CN"/>
        </w:rPr>
        <w:t>（</w:t>
      </w:r>
      <w:r>
        <w:rPr>
          <w:rFonts w:hint="default"/>
          <w:lang w:val="en-US" w:eastAsia="zh-CN"/>
        </w:rPr>
        <w:t>四</w:t>
      </w:r>
      <w:r>
        <w:rPr>
          <w:rFonts w:hint="default"/>
          <w:lang w:eastAsia="zh-CN"/>
        </w:rPr>
        <w:t>）</w:t>
      </w:r>
      <w:r>
        <w:rPr>
          <w:rFonts w:hint="default"/>
        </w:rPr>
        <w:t>资金拨付阶段</w:t>
      </w:r>
    </w:p>
    <w:p w14:paraId="4B31CE3E">
      <w:pPr>
        <w:pStyle w:val="40"/>
        <w:bidi w:val="0"/>
        <w:rPr>
          <w:rFonts w:hint="default"/>
        </w:rPr>
      </w:pPr>
      <w:r>
        <w:rPr>
          <w:rFonts w:hint="default"/>
        </w:rPr>
        <w:t>项目任务完成并</w:t>
      </w:r>
      <w:r>
        <w:rPr>
          <w:rFonts w:hint="eastAsia"/>
          <w:lang w:val="en-US" w:eastAsia="zh-CN"/>
        </w:rPr>
        <w:t>抽查复核</w:t>
      </w:r>
      <w:r>
        <w:rPr>
          <w:rFonts w:hint="default"/>
        </w:rPr>
        <w:t>合格后，县农业农村局、县供销社按服务合同实际作业量和补助标准核算出具</w:t>
      </w:r>
      <w:r>
        <w:rPr>
          <w:rFonts w:hint="eastAsia"/>
          <w:lang w:val="en-US" w:eastAsia="zh-CN"/>
        </w:rPr>
        <w:t>复核</w:t>
      </w:r>
      <w:r>
        <w:rPr>
          <w:rFonts w:hint="default"/>
        </w:rPr>
        <w:t>情况表、补贴资金核算表和补助额度明细表，并在项目实施所在镇</w:t>
      </w:r>
      <w:r>
        <w:rPr>
          <w:rFonts w:hint="default"/>
          <w:lang w:eastAsia="zh-CN"/>
        </w:rPr>
        <w:t>（街道）</w:t>
      </w:r>
      <w:r>
        <w:rPr>
          <w:rFonts w:hint="default"/>
        </w:rPr>
        <w:t>、村进行公示5个工作日无异议后，县农业农村局、县供销社</w:t>
      </w:r>
      <w:r>
        <w:rPr>
          <w:rFonts w:hint="eastAsia"/>
          <w:lang w:val="en-US" w:eastAsia="zh-CN"/>
        </w:rPr>
        <w:t>按程序申报补助资金，</w:t>
      </w:r>
      <w:r>
        <w:rPr>
          <w:rFonts w:hint="default"/>
        </w:rPr>
        <w:t>县财政局按服务合同实际作业量和补助标准拨付</w:t>
      </w:r>
      <w:r>
        <w:rPr>
          <w:rFonts w:hint="eastAsia"/>
          <w:lang w:eastAsia="zh-CN"/>
        </w:rPr>
        <w:t>项目</w:t>
      </w:r>
      <w:r>
        <w:rPr>
          <w:rFonts w:hint="default"/>
        </w:rPr>
        <w:t>资金。</w:t>
      </w:r>
    </w:p>
    <w:p w14:paraId="2B8B8091">
      <w:pPr>
        <w:pStyle w:val="43"/>
        <w:bidi w:val="0"/>
        <w:rPr>
          <w:rFonts w:hint="default"/>
        </w:rPr>
      </w:pPr>
      <w:r>
        <w:rPr>
          <w:rFonts w:hint="eastAsia"/>
          <w:lang w:eastAsia="zh-CN"/>
        </w:rPr>
        <w:t>（五）</w:t>
      </w:r>
      <w:r>
        <w:rPr>
          <w:rFonts w:hint="default"/>
        </w:rPr>
        <w:t>绩效评价阶段</w:t>
      </w:r>
    </w:p>
    <w:p w14:paraId="50982CF0">
      <w:pPr>
        <w:pStyle w:val="40"/>
        <w:bidi w:val="0"/>
        <w:rPr>
          <w:rFonts w:hint="default"/>
        </w:rPr>
      </w:pPr>
      <w:r>
        <w:rPr>
          <w:rFonts w:hint="default"/>
        </w:rPr>
        <w:t>项目完成后，县农业农村局、县供销社</w:t>
      </w:r>
      <w:r>
        <w:rPr>
          <w:rFonts w:hint="default"/>
          <w:lang w:eastAsia="zh-CN"/>
        </w:rPr>
        <w:t>做好项目工作总结，</w:t>
      </w:r>
      <w:r>
        <w:rPr>
          <w:rFonts w:hint="default"/>
        </w:rPr>
        <w:t>开展绩效自评，形成年度项目绩效自评报告。加强对社会化服务质量的跟踪问效和后续监管，对农户满意度低的承接主体，第二年取消其承接主体资格。</w:t>
      </w:r>
    </w:p>
    <w:p w14:paraId="1ACD92CB">
      <w:pPr>
        <w:pStyle w:val="42"/>
        <w:bidi w:val="0"/>
        <w:rPr>
          <w:rFonts w:hint="default"/>
        </w:rPr>
      </w:pPr>
      <w:r>
        <w:rPr>
          <w:rFonts w:hint="default"/>
        </w:rPr>
        <w:t>五、保障措施</w:t>
      </w:r>
    </w:p>
    <w:p w14:paraId="39EA5EF4">
      <w:pPr>
        <w:pStyle w:val="43"/>
        <w:bidi w:val="0"/>
        <w:rPr>
          <w:rFonts w:hint="default"/>
        </w:rPr>
      </w:pPr>
      <w:r>
        <w:rPr>
          <w:rFonts w:hint="default"/>
        </w:rPr>
        <w:t>（一）强化组织领导</w:t>
      </w:r>
    </w:p>
    <w:p w14:paraId="11764FF1">
      <w:pPr>
        <w:pStyle w:val="40"/>
        <w:bidi w:val="0"/>
        <w:rPr>
          <w:rFonts w:hint="default"/>
        </w:rPr>
      </w:pPr>
      <w:r>
        <w:rPr>
          <w:rFonts w:hint="default"/>
        </w:rPr>
        <w:t>由分管副县长召集县农业农村局、县供销社、县财政局主要领导和分管领导，建立会商</w:t>
      </w:r>
      <w:r>
        <w:rPr>
          <w:rFonts w:hint="eastAsia"/>
          <w:lang w:val="en-US" w:eastAsia="zh-CN"/>
        </w:rPr>
        <w:t>机制</w:t>
      </w:r>
      <w:r>
        <w:rPr>
          <w:rFonts w:hint="default"/>
        </w:rPr>
        <w:t>，项目各镇（街道）成立社会化服务工作专班，负责项目重大事项的决策和相关协调工作。同时，成立专家指导小组，负责实施方案制定、优选服务主体，开展</w:t>
      </w:r>
      <w:r>
        <w:rPr>
          <w:rFonts w:hint="eastAsia"/>
          <w:lang w:val="en-US" w:eastAsia="zh-CN"/>
        </w:rPr>
        <w:t>抽查复核</w:t>
      </w:r>
      <w:r>
        <w:rPr>
          <w:rFonts w:hint="default"/>
        </w:rPr>
        <w:t>、绩效评价和项目总结等具体工作。项目由县农业农村局、县供销社牵头，负责项目日常工作；项目各镇（街道）、村负责辖区内该项目的组织、协调、公示、技术指导、面积核实等工作。</w:t>
      </w:r>
    </w:p>
    <w:p w14:paraId="6EDEB969">
      <w:pPr>
        <w:pStyle w:val="43"/>
        <w:bidi w:val="0"/>
        <w:rPr>
          <w:rFonts w:hint="default"/>
        </w:rPr>
      </w:pPr>
      <w:r>
        <w:rPr>
          <w:rFonts w:hint="default"/>
        </w:rPr>
        <w:t>（二）加强项目管理</w:t>
      </w:r>
    </w:p>
    <w:p w14:paraId="37BFA884">
      <w:pPr>
        <w:pStyle w:val="40"/>
        <w:bidi w:val="0"/>
        <w:rPr>
          <w:rFonts w:hint="default"/>
        </w:rPr>
      </w:pPr>
      <w:r>
        <w:rPr>
          <w:rFonts w:hint="default"/>
        </w:rPr>
        <w:t>县农业农村局、县供销社根据编制的实施方案，制作台账表格，制定服务标准、</w:t>
      </w:r>
      <w:r>
        <w:rPr>
          <w:rFonts w:hint="eastAsia"/>
          <w:lang w:val="en-US" w:eastAsia="zh-CN"/>
        </w:rPr>
        <w:t>抽查复核</w:t>
      </w:r>
      <w:r>
        <w:rPr>
          <w:rFonts w:hint="default"/>
        </w:rPr>
        <w:t>办法等有关制度，建立规范的操作规程，</w:t>
      </w:r>
      <w:r>
        <w:rPr>
          <w:rFonts w:hint="default"/>
          <w:lang w:eastAsia="zh-CN"/>
        </w:rPr>
        <w:t>不</w:t>
      </w:r>
      <w:r>
        <w:rPr>
          <w:rFonts w:hint="default"/>
        </w:rPr>
        <w:t>定期开展监督检查。</w:t>
      </w:r>
    </w:p>
    <w:p w14:paraId="12119341">
      <w:pPr>
        <w:pStyle w:val="43"/>
        <w:bidi w:val="0"/>
        <w:rPr>
          <w:rFonts w:hint="default"/>
          <w:lang w:val="en-US" w:eastAsia="zh-CN"/>
        </w:rPr>
      </w:pPr>
      <w:r>
        <w:rPr>
          <w:rFonts w:hint="default"/>
        </w:rPr>
        <w:t>（三）严格资金管理</w:t>
      </w:r>
    </w:p>
    <w:p w14:paraId="6044E0C6">
      <w:pPr>
        <w:pStyle w:val="40"/>
        <w:bidi w:val="0"/>
        <w:rPr>
          <w:rFonts w:hint="default"/>
        </w:rPr>
      </w:pPr>
      <w:r>
        <w:rPr>
          <w:rFonts w:hint="default"/>
        </w:rPr>
        <w:t>切实加强资金监管，严禁截留、挪用和超范围支出资金，确保资金使用安全。</w:t>
      </w:r>
      <w:r>
        <w:rPr>
          <w:rFonts w:hint="default"/>
          <w:lang w:val="en-US" w:eastAsia="zh-CN"/>
        </w:rPr>
        <w:t>补助资金使用不得出现以下情形：1.不得将补助资金用于购置设施装备、安装作业监测终端、建设信息化平台、列支工作经费和培训经费、发放普惠性补贴等非服务性环节。2.不得将经营主体或服务主体为自身流转的土地提供作业服务纳入补助范围。3.两家及以上经营主体或服务主体不得通过相互提供交叉作业服务获取补助资金。4.不得受理以中介机构名义直接代理申报的资金项目，不得将财政补助资金用于支付中介费用。5.其他不符合项目任务补助资金使用方向要求的情形。</w:t>
      </w:r>
      <w:r>
        <w:rPr>
          <w:rFonts w:hint="default"/>
        </w:rPr>
        <w:t>防止财政补助资金“跑、冒、滴、漏”。切实加强资金分配、使用、管理，及时拨付财政补助资金，强化对服务主体监督检查，设立专门举报电话（举报电话：县财政局农财股：3711977；县农业农村局改革股：3711911；县供销社</w:t>
      </w:r>
      <w:r>
        <w:rPr>
          <w:rFonts w:hint="default"/>
          <w:lang w:eastAsia="zh-CN"/>
        </w:rPr>
        <w:t>：</w:t>
      </w:r>
      <w:r>
        <w:rPr>
          <w:rFonts w:hint="default"/>
          <w:lang w:val="en-US" w:eastAsia="zh-CN"/>
        </w:rPr>
        <w:t>3716169</w:t>
      </w:r>
      <w:r>
        <w:rPr>
          <w:rFonts w:hint="eastAsia"/>
          <w:lang w:val="en-US" w:eastAsia="zh-CN"/>
        </w:rPr>
        <w:t>。</w:t>
      </w:r>
      <w:r>
        <w:rPr>
          <w:rFonts w:hint="default"/>
        </w:rPr>
        <w:t>），随时接受群众举报，发现问题及时整改。</w:t>
      </w:r>
    </w:p>
    <w:p w14:paraId="0CB521AE">
      <w:pPr>
        <w:pStyle w:val="43"/>
        <w:bidi w:val="0"/>
        <w:rPr>
          <w:rFonts w:hint="default"/>
        </w:rPr>
      </w:pPr>
      <w:r>
        <w:rPr>
          <w:rFonts w:hint="default"/>
        </w:rPr>
        <w:t>（四）保障工作经费</w:t>
      </w:r>
    </w:p>
    <w:p w14:paraId="1CA99C3C">
      <w:pPr>
        <w:pStyle w:val="40"/>
        <w:bidi w:val="0"/>
        <w:rPr>
          <w:rFonts w:hint="default"/>
          <w:lang w:val="en-US" w:eastAsia="zh-CN"/>
        </w:rPr>
      </w:pPr>
      <w:r>
        <w:rPr>
          <w:rFonts w:hint="default"/>
        </w:rPr>
        <w:t>县人民政府履行主体责任，统筹协调县农业农村局、</w:t>
      </w:r>
      <w:r>
        <w:rPr>
          <w:rFonts w:hint="default"/>
          <w:lang w:val="en-US" w:eastAsia="zh-CN"/>
        </w:rPr>
        <w:t>县供销社、</w:t>
      </w:r>
      <w:r>
        <w:rPr>
          <w:rFonts w:hint="default"/>
        </w:rPr>
        <w:t>县财政局和镇（街道）等单位和部门，保障必要的</w:t>
      </w:r>
      <w:r>
        <w:rPr>
          <w:rFonts w:hint="default"/>
          <w:lang w:val="en-US" w:eastAsia="zh-CN"/>
        </w:rPr>
        <w:t>工作经费，确保项目落实。</w:t>
      </w:r>
    </w:p>
    <w:p w14:paraId="424E9118">
      <w:pPr>
        <w:pStyle w:val="40"/>
        <w:bidi w:val="0"/>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（五）加强宣传引导</w:t>
      </w:r>
    </w:p>
    <w:p w14:paraId="6DDD815A">
      <w:pPr>
        <w:pStyle w:val="40"/>
        <w:bidi w:val="0"/>
        <w:rPr>
          <w:rFonts w:hint="eastAsia"/>
          <w:lang w:val="en-US" w:eastAsia="zh-CN"/>
        </w:rPr>
      </w:pPr>
      <w:r>
        <w:rPr>
          <w:rFonts w:hint="eastAsia"/>
          <w:lang w:val="en-US" w:eastAsia="zh-CN"/>
        </w:rPr>
        <w:t>利用会议、公开栏、横幅、宣传资料等多种宣传手段，大力开展政策宣传。鼓励新型农业经营主体提供服务，加强对小农户、新型农业经营主体等服务对象的积极引导，提升广大农户和服务组织积极参与农业生产社会化服务，营造社会各方共同关注农业生产社会化服务工作的良好氛围。</w:t>
      </w:r>
    </w:p>
    <w:p w14:paraId="69CA829F">
      <w:pPr>
        <w:adjustRightInd w:val="0"/>
        <w:snapToGrid w:val="0"/>
        <w:outlineLvl w:val="0"/>
        <w:rPr>
          <w:rFonts w:hint="eastAsia" w:ascii="黑体" w:hAnsi="黑体" w:eastAsia="黑体"/>
          <w:spacing w:val="-4"/>
          <w:sz w:val="32"/>
          <w:szCs w:val="32"/>
        </w:rPr>
      </w:pPr>
    </w:p>
    <w:p w14:paraId="69456825">
      <w:pPr>
        <w:adjustRightInd w:val="0"/>
        <w:snapToGrid w:val="0"/>
        <w:outlineLvl w:val="0"/>
        <w:rPr>
          <w:rFonts w:hint="eastAsia" w:ascii="黑体" w:hAnsi="黑体" w:eastAsia="黑体"/>
          <w:spacing w:val="-4"/>
          <w:sz w:val="32"/>
          <w:szCs w:val="32"/>
        </w:rPr>
      </w:pPr>
    </w:p>
    <w:p w14:paraId="28B3C38D">
      <w:pPr>
        <w:adjustRightInd w:val="0"/>
        <w:snapToGrid w:val="0"/>
        <w:outlineLvl w:val="0"/>
        <w:rPr>
          <w:rFonts w:hint="eastAsia" w:ascii="黑体" w:hAnsi="黑体" w:eastAsia="黑体"/>
          <w:spacing w:val="-4"/>
          <w:sz w:val="28"/>
          <w:szCs w:val="28"/>
        </w:rPr>
      </w:pPr>
    </w:p>
    <w:p w14:paraId="24A2D70B">
      <w:pPr>
        <w:adjustRightInd w:val="0"/>
        <w:snapToGrid w:val="0"/>
        <w:outlineLvl w:val="0"/>
        <w:rPr>
          <w:rFonts w:hint="eastAsia" w:ascii="方正小标宋简体" w:eastAsia="黑体"/>
          <w:b/>
          <w:spacing w:val="-4"/>
          <w:sz w:val="28"/>
          <w:szCs w:val="28"/>
          <w:lang w:val="en-US" w:eastAsia="zh-CN"/>
        </w:rPr>
      </w:pPr>
      <w:r>
        <w:rPr>
          <w:rFonts w:hint="eastAsia" w:ascii="黑体" w:hAnsi="黑体" w:eastAsia="黑体"/>
          <w:spacing w:val="-4"/>
          <w:sz w:val="28"/>
          <w:szCs w:val="28"/>
        </w:rPr>
        <w:t>附件</w:t>
      </w:r>
      <w:r>
        <w:rPr>
          <w:rFonts w:hint="eastAsia" w:ascii="黑体" w:hAnsi="黑体" w:eastAsia="黑体"/>
          <w:spacing w:val="-4"/>
          <w:sz w:val="28"/>
          <w:szCs w:val="28"/>
          <w:lang w:val="en-US" w:eastAsia="zh-CN"/>
        </w:rPr>
        <w:t>2</w:t>
      </w:r>
    </w:p>
    <w:p w14:paraId="184B902F">
      <w:pPr>
        <w:adjustRightInd w:val="0"/>
        <w:snapToGrid w:val="0"/>
        <w:jc w:val="center"/>
        <w:outlineLvl w:val="0"/>
        <w:rPr>
          <w:rFonts w:ascii="宋体" w:eastAsia="宋体"/>
          <w:szCs w:val="21"/>
        </w:rPr>
      </w:pPr>
      <w:r>
        <w:rPr>
          <w:rFonts w:hint="eastAsia" w:ascii="方正小标宋简体" w:eastAsia="方正小标宋简体"/>
          <w:b w:val="0"/>
          <w:bCs/>
          <w:spacing w:val="-4"/>
          <w:sz w:val="30"/>
          <w:szCs w:val="30"/>
          <w:lang w:val="en-US" w:eastAsia="zh-CN"/>
        </w:rPr>
        <w:t>2024年井研县农业社会化服务项目承接主体服务主体申请表</w:t>
      </w:r>
    </w:p>
    <w:tbl>
      <w:tblPr>
        <w:tblStyle w:val="4"/>
        <w:tblW w:w="8579" w:type="dxa"/>
        <w:tblInd w:w="0" w:type="dxa"/>
        <w:shd w:val="clear" w:color="auto" w:fill="auto"/>
        <w:tblLayout w:type="autofit"/>
        <w:tblCellMar>
          <w:top w:w="0" w:type="dxa"/>
          <w:left w:w="0" w:type="dxa"/>
          <w:bottom w:w="0" w:type="dxa"/>
          <w:right w:w="0" w:type="dxa"/>
        </w:tblCellMar>
      </w:tblPr>
      <w:tblGrid>
        <w:gridCol w:w="1089"/>
        <w:gridCol w:w="1217"/>
        <w:gridCol w:w="1285"/>
        <w:gridCol w:w="1647"/>
        <w:gridCol w:w="1688"/>
        <w:gridCol w:w="1653"/>
      </w:tblGrid>
      <w:tr w14:paraId="15FABDB6">
        <w:tblPrEx>
          <w:shd w:val="clear" w:color="auto" w:fill="auto"/>
          <w:tblCellMar>
            <w:top w:w="0" w:type="dxa"/>
            <w:left w:w="0" w:type="dxa"/>
            <w:bottom w:w="0" w:type="dxa"/>
            <w:right w:w="0" w:type="dxa"/>
          </w:tblCellMar>
        </w:tblPrEx>
        <w:trPr>
          <w:trHeight w:val="9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798E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color w:val="000000"/>
                <w:sz w:val="28"/>
                <w:szCs w:val="28"/>
                <w:u w:val="none"/>
                <w:lang w:val="en-US"/>
              </w:rPr>
            </w:pPr>
            <w:r>
              <w:rPr>
                <w:rFonts w:hint="eastAsia" w:ascii="仿宋_GB2312" w:hAnsi="宋体" w:eastAsia="仿宋_GB2312" w:cs="仿宋_GB2312"/>
                <w:i w:val="0"/>
                <w:color w:val="000000"/>
                <w:kern w:val="0"/>
                <w:sz w:val="28"/>
                <w:szCs w:val="28"/>
                <w:u w:val="none"/>
                <w:lang w:val="en-US" w:eastAsia="zh-CN" w:bidi="ar"/>
              </w:rPr>
              <w:t>名</w:t>
            </w:r>
            <w:r>
              <w:rPr>
                <w:rFonts w:hint="eastAsia" w:ascii="仿宋_GB2312" w:hAnsi="宋体" w:cs="仿宋_GB2312"/>
                <w:i w:val="0"/>
                <w:color w:val="000000"/>
                <w:kern w:val="0"/>
                <w:sz w:val="28"/>
                <w:szCs w:val="28"/>
                <w:u w:val="none"/>
                <w:lang w:val="en-US" w:eastAsia="zh-CN" w:bidi="ar"/>
              </w:rPr>
              <w:t xml:space="preserve">  </w:t>
            </w:r>
            <w:r>
              <w:rPr>
                <w:rFonts w:hint="eastAsia" w:ascii="仿宋_GB2312" w:hAnsi="宋体" w:eastAsia="仿宋_GB2312" w:cs="仿宋_GB2312"/>
                <w:i w:val="0"/>
                <w:color w:val="000000"/>
                <w:kern w:val="0"/>
                <w:sz w:val="28"/>
                <w:szCs w:val="28"/>
                <w:u w:val="none"/>
                <w:lang w:val="en-US" w:eastAsia="zh-CN" w:bidi="ar"/>
              </w:rPr>
              <w:t>称</w:t>
            </w:r>
          </w:p>
        </w:tc>
        <w:tc>
          <w:tcPr>
            <w:tcW w:w="74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F9E56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8"/>
                <w:szCs w:val="28"/>
                <w:u w:val="none"/>
              </w:rPr>
            </w:pPr>
          </w:p>
        </w:tc>
      </w:tr>
      <w:tr w14:paraId="147CD1B8">
        <w:tblPrEx>
          <w:tblCellMar>
            <w:top w:w="0" w:type="dxa"/>
            <w:left w:w="0" w:type="dxa"/>
            <w:bottom w:w="0" w:type="dxa"/>
            <w:right w:w="0" w:type="dxa"/>
          </w:tblCellMar>
        </w:tblPrEx>
        <w:trPr>
          <w:trHeight w:val="169"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38A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统一社会信用代  码</w:t>
            </w:r>
          </w:p>
        </w:tc>
        <w:tc>
          <w:tcPr>
            <w:tcW w:w="74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F15B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8"/>
                <w:szCs w:val="28"/>
                <w:u w:val="none"/>
              </w:rPr>
            </w:pPr>
          </w:p>
        </w:tc>
      </w:tr>
      <w:tr w14:paraId="6172C19D">
        <w:tblPrEx>
          <w:tblCellMar>
            <w:top w:w="0" w:type="dxa"/>
            <w:left w:w="0" w:type="dxa"/>
            <w:bottom w:w="0" w:type="dxa"/>
            <w:right w:w="0" w:type="dxa"/>
          </w:tblCellMar>
        </w:tblPrEx>
        <w:trPr>
          <w:trHeight w:val="90"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0E4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地</w:t>
            </w:r>
            <w:r>
              <w:rPr>
                <w:rFonts w:hint="eastAsia" w:ascii="仿宋_GB2312" w:hAnsi="宋体" w:cs="仿宋_GB2312"/>
                <w:i w:val="0"/>
                <w:color w:val="000000"/>
                <w:kern w:val="0"/>
                <w:sz w:val="28"/>
                <w:szCs w:val="28"/>
                <w:u w:val="none"/>
                <w:lang w:val="en-US" w:eastAsia="zh-CN" w:bidi="ar"/>
              </w:rPr>
              <w:t xml:space="preserve">  </w:t>
            </w:r>
            <w:r>
              <w:rPr>
                <w:rFonts w:hint="eastAsia" w:ascii="仿宋_GB2312" w:hAnsi="宋体" w:eastAsia="仿宋_GB2312" w:cs="仿宋_GB2312"/>
                <w:i w:val="0"/>
                <w:color w:val="000000"/>
                <w:kern w:val="0"/>
                <w:sz w:val="28"/>
                <w:szCs w:val="28"/>
                <w:u w:val="none"/>
                <w:lang w:val="en-US" w:eastAsia="zh-CN" w:bidi="ar"/>
              </w:rPr>
              <w:t>址</w:t>
            </w:r>
          </w:p>
        </w:tc>
        <w:tc>
          <w:tcPr>
            <w:tcW w:w="74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C3844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8"/>
                <w:szCs w:val="28"/>
                <w:u w:val="none"/>
              </w:rPr>
            </w:pPr>
          </w:p>
        </w:tc>
      </w:tr>
      <w:tr w14:paraId="7A762E19">
        <w:tblPrEx>
          <w:tblCellMar>
            <w:top w:w="0" w:type="dxa"/>
            <w:left w:w="0" w:type="dxa"/>
            <w:bottom w:w="0" w:type="dxa"/>
            <w:right w:w="0" w:type="dxa"/>
          </w:tblCellMar>
        </w:tblPrEx>
        <w:trPr>
          <w:trHeight w:val="312" w:hRule="atLeast"/>
        </w:trPr>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D20D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负责人</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6D0E4">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8"/>
                <w:szCs w:val="28"/>
                <w:u w:val="none"/>
              </w:rPr>
            </w:pPr>
          </w:p>
        </w:tc>
        <w:tc>
          <w:tcPr>
            <w:tcW w:w="12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5D810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身份证号</w:t>
            </w:r>
          </w:p>
        </w:tc>
        <w:tc>
          <w:tcPr>
            <w:tcW w:w="498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CF02E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8"/>
                <w:szCs w:val="28"/>
                <w:u w:val="none"/>
              </w:rPr>
            </w:pPr>
          </w:p>
        </w:tc>
      </w:tr>
      <w:tr w14:paraId="3DB501D8">
        <w:tblPrEx>
          <w:tblCellMar>
            <w:top w:w="0" w:type="dxa"/>
            <w:left w:w="0" w:type="dxa"/>
            <w:bottom w:w="0" w:type="dxa"/>
            <w:right w:w="0" w:type="dxa"/>
          </w:tblCellMar>
        </w:tblPrEx>
        <w:trPr>
          <w:trHeight w:val="312"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ED3E26">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宋体" w:eastAsia="仿宋_GB2312" w:cs="仿宋_GB2312"/>
                <w:i w:val="0"/>
                <w:color w:val="000000"/>
                <w:sz w:val="28"/>
                <w:szCs w:val="28"/>
                <w:u w:val="none"/>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E3A00">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8"/>
                <w:szCs w:val="28"/>
                <w:u w:val="none"/>
              </w:rPr>
            </w:pP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455E2">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宋体" w:eastAsia="仿宋_GB2312" w:cs="仿宋_GB2312"/>
                <w:i w:val="0"/>
                <w:color w:val="000000"/>
                <w:sz w:val="28"/>
                <w:szCs w:val="28"/>
                <w:u w:val="none"/>
              </w:rPr>
            </w:pPr>
          </w:p>
        </w:tc>
        <w:tc>
          <w:tcPr>
            <w:tcW w:w="49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8BFE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8"/>
                <w:szCs w:val="28"/>
                <w:u w:val="none"/>
              </w:rPr>
            </w:pPr>
          </w:p>
        </w:tc>
      </w:tr>
      <w:tr w14:paraId="20E6AE02">
        <w:tblPrEx>
          <w:tblCellMar>
            <w:top w:w="0" w:type="dxa"/>
            <w:left w:w="0" w:type="dxa"/>
            <w:bottom w:w="0" w:type="dxa"/>
            <w:right w:w="0" w:type="dxa"/>
          </w:tblCellMar>
        </w:tblPrEx>
        <w:trPr>
          <w:trHeight w:val="312"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FA063">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宋体" w:eastAsia="仿宋_GB2312" w:cs="仿宋_GB2312"/>
                <w:i w:val="0"/>
                <w:color w:val="000000"/>
                <w:sz w:val="28"/>
                <w:szCs w:val="28"/>
                <w:u w:val="none"/>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B89FA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8"/>
                <w:szCs w:val="28"/>
                <w:u w:val="none"/>
              </w:rPr>
            </w:pPr>
          </w:p>
        </w:tc>
        <w:tc>
          <w:tcPr>
            <w:tcW w:w="12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9D87D">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宋体" w:eastAsia="仿宋_GB2312" w:cs="仿宋_GB2312"/>
                <w:i w:val="0"/>
                <w:color w:val="000000"/>
                <w:sz w:val="28"/>
                <w:szCs w:val="28"/>
                <w:u w:val="none"/>
              </w:rPr>
            </w:pPr>
          </w:p>
        </w:tc>
        <w:tc>
          <w:tcPr>
            <w:tcW w:w="498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6F84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8"/>
                <w:szCs w:val="28"/>
                <w:u w:val="none"/>
              </w:rPr>
            </w:pPr>
          </w:p>
        </w:tc>
      </w:tr>
      <w:tr w14:paraId="4A178DD6">
        <w:tblPrEx>
          <w:tblCellMar>
            <w:top w:w="0" w:type="dxa"/>
            <w:left w:w="0" w:type="dxa"/>
            <w:bottom w:w="0" w:type="dxa"/>
            <w:right w:w="0" w:type="dxa"/>
          </w:tblCellMar>
        </w:tblPrEx>
        <w:trPr>
          <w:trHeight w:val="201"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5ABB60">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宋体" w:eastAsia="仿宋_GB2312" w:cs="仿宋_GB2312"/>
                <w:i w:val="0"/>
                <w:color w:val="000000"/>
                <w:sz w:val="28"/>
                <w:szCs w:val="28"/>
                <w:u w:val="none"/>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2D11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8"/>
                <w:szCs w:val="28"/>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C443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电</w:t>
            </w:r>
            <w:r>
              <w:rPr>
                <w:rFonts w:ascii="Arial" w:hAnsi="Arial" w:eastAsia="仿宋_GB2312" w:cs="Arial"/>
                <w:i w:val="0"/>
                <w:color w:val="000000"/>
                <w:kern w:val="0"/>
                <w:sz w:val="28"/>
                <w:szCs w:val="28"/>
                <w:u w:val="none"/>
                <w:lang w:val="en-US" w:eastAsia="zh-CN" w:bidi="ar"/>
              </w:rPr>
              <w:t xml:space="preserve"> </w:t>
            </w:r>
            <w:r>
              <w:rPr>
                <w:rFonts w:hint="eastAsia" w:ascii="仿宋_GB2312" w:hAnsi="宋体" w:eastAsia="仿宋_GB2312" w:cs="仿宋_GB2312"/>
                <w:i w:val="0"/>
                <w:color w:val="000000"/>
                <w:kern w:val="0"/>
                <w:sz w:val="28"/>
                <w:szCs w:val="28"/>
                <w:u w:val="none"/>
                <w:lang w:val="en-US" w:eastAsia="zh-CN" w:bidi="ar"/>
              </w:rPr>
              <w:t>话</w:t>
            </w:r>
          </w:p>
        </w:tc>
        <w:tc>
          <w:tcPr>
            <w:tcW w:w="49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CF0D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8"/>
                <w:szCs w:val="28"/>
                <w:u w:val="none"/>
              </w:rPr>
            </w:pPr>
          </w:p>
        </w:tc>
      </w:tr>
      <w:tr w14:paraId="574B68D5">
        <w:tblPrEx>
          <w:tblCellMar>
            <w:top w:w="0" w:type="dxa"/>
            <w:left w:w="0" w:type="dxa"/>
            <w:bottom w:w="0" w:type="dxa"/>
            <w:right w:w="0" w:type="dxa"/>
          </w:tblCellMar>
        </w:tblPrEx>
        <w:trPr>
          <w:trHeight w:val="195" w:hRule="atLeast"/>
        </w:trPr>
        <w:tc>
          <w:tcPr>
            <w:tcW w:w="10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B176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服务技术人员（人）</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EC812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8"/>
                <w:szCs w:val="28"/>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A3F9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服务设备（台、套）</w:t>
            </w:r>
          </w:p>
        </w:tc>
        <w:tc>
          <w:tcPr>
            <w:tcW w:w="49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60A8D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宋体"/>
                <w:i w:val="0"/>
                <w:color w:val="000000"/>
                <w:sz w:val="28"/>
                <w:szCs w:val="28"/>
                <w:u w:val="none"/>
              </w:rPr>
            </w:pPr>
          </w:p>
        </w:tc>
      </w:tr>
      <w:tr w14:paraId="7D857B39">
        <w:tblPrEx>
          <w:tblCellMar>
            <w:top w:w="0" w:type="dxa"/>
            <w:left w:w="0" w:type="dxa"/>
            <w:bottom w:w="0" w:type="dxa"/>
            <w:right w:w="0" w:type="dxa"/>
          </w:tblCellMar>
        </w:tblPrEx>
        <w:trPr>
          <w:trHeight w:val="104" w:hRule="atLeast"/>
        </w:trPr>
        <w:tc>
          <w:tcPr>
            <w:tcW w:w="10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EA7B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申请服务内容</w:t>
            </w: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D151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服务环节</w:t>
            </w: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7D3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支持环节</w:t>
            </w: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91F9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品种</w:t>
            </w: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B3137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面积（亩）</w:t>
            </w: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D6D29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color w:val="000000"/>
                <w:sz w:val="28"/>
                <w:szCs w:val="28"/>
                <w:u w:val="none"/>
                <w:lang w:val="en-US"/>
              </w:rPr>
            </w:pPr>
            <w:r>
              <w:rPr>
                <w:rFonts w:hint="eastAsia" w:ascii="仿宋_GB2312" w:hAnsi="宋体" w:eastAsia="仿宋_GB2312" w:cs="仿宋_GB2312"/>
                <w:i w:val="0"/>
                <w:color w:val="000000"/>
                <w:kern w:val="0"/>
                <w:sz w:val="28"/>
                <w:szCs w:val="28"/>
                <w:u w:val="none"/>
                <w:lang w:val="en-US" w:eastAsia="zh-CN" w:bidi="ar"/>
              </w:rPr>
              <w:t>镇 村</w:t>
            </w:r>
          </w:p>
        </w:tc>
      </w:tr>
      <w:tr w14:paraId="149881B8">
        <w:tblPrEx>
          <w:tblCellMar>
            <w:top w:w="0" w:type="dxa"/>
            <w:left w:w="0" w:type="dxa"/>
            <w:bottom w:w="0" w:type="dxa"/>
            <w:right w:w="0" w:type="dxa"/>
          </w:tblCellMar>
        </w:tblPrEx>
        <w:trPr>
          <w:trHeight w:val="90"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5894A1">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宋体" w:eastAsia="仿宋_GB2312" w:cs="仿宋_GB2312"/>
                <w:i w:val="0"/>
                <w:color w:val="000000"/>
                <w:sz w:val="28"/>
                <w:szCs w:val="28"/>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71F3A">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宋体" w:eastAsia="仿宋_GB2312" w:cs="仿宋_GB2312"/>
                <w:i w:val="0"/>
                <w:color w:val="000000"/>
                <w:sz w:val="28"/>
                <w:szCs w:val="28"/>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0F5C95">
            <w:pPr>
              <w:keepNext w:val="0"/>
              <w:keepLines w:val="0"/>
              <w:pageBreakBefore w:val="0"/>
              <w:kinsoku/>
              <w:wordWrap/>
              <w:overflowPunct/>
              <w:topLinePunct w:val="0"/>
              <w:autoSpaceDE/>
              <w:autoSpaceDN/>
              <w:bidi w:val="0"/>
              <w:adjustRightInd/>
              <w:snapToGrid/>
              <w:spacing w:line="400" w:lineRule="exact"/>
              <w:rPr>
                <w:rFonts w:hint="eastAsia" w:ascii="仿宋_GB2312" w:hAnsi="宋体" w:eastAsia="仿宋_GB2312" w:cs="仿宋_GB2312"/>
                <w:i w:val="0"/>
                <w:color w:val="000000"/>
                <w:sz w:val="28"/>
                <w:szCs w:val="28"/>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1114D">
            <w:pPr>
              <w:keepNext w:val="0"/>
              <w:keepLines w:val="0"/>
              <w:pageBreakBefore w:val="0"/>
              <w:kinsoku/>
              <w:wordWrap/>
              <w:overflowPunct/>
              <w:topLinePunct w:val="0"/>
              <w:autoSpaceDE/>
              <w:autoSpaceDN/>
              <w:bidi w:val="0"/>
              <w:adjustRightInd/>
              <w:snapToGrid/>
              <w:spacing w:line="400" w:lineRule="exact"/>
              <w:rPr>
                <w:rFonts w:hint="eastAsia" w:ascii="仿宋_GB2312" w:hAnsi="宋体" w:eastAsia="仿宋_GB2312" w:cs="仿宋_GB2312"/>
                <w:i w:val="0"/>
                <w:color w:val="000000"/>
                <w:sz w:val="28"/>
                <w:szCs w:val="28"/>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28379">
            <w:pPr>
              <w:keepNext w:val="0"/>
              <w:keepLines w:val="0"/>
              <w:pageBreakBefore w:val="0"/>
              <w:kinsoku/>
              <w:wordWrap/>
              <w:overflowPunct/>
              <w:topLinePunct w:val="0"/>
              <w:autoSpaceDE/>
              <w:autoSpaceDN/>
              <w:bidi w:val="0"/>
              <w:adjustRightInd/>
              <w:snapToGrid/>
              <w:spacing w:line="400" w:lineRule="exact"/>
              <w:rPr>
                <w:rFonts w:hint="eastAsia" w:ascii="仿宋_GB2312" w:hAnsi="宋体" w:eastAsia="仿宋_GB2312" w:cs="仿宋_GB2312"/>
                <w:i w:val="0"/>
                <w:color w:val="000000"/>
                <w:sz w:val="28"/>
                <w:szCs w:val="28"/>
                <w:u w:val="none"/>
              </w:rPr>
            </w:pP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6FE749">
            <w:pPr>
              <w:keepNext w:val="0"/>
              <w:keepLines w:val="0"/>
              <w:pageBreakBefore w:val="0"/>
              <w:kinsoku/>
              <w:wordWrap/>
              <w:overflowPunct/>
              <w:topLinePunct w:val="0"/>
              <w:autoSpaceDE/>
              <w:autoSpaceDN/>
              <w:bidi w:val="0"/>
              <w:adjustRightInd/>
              <w:snapToGrid/>
              <w:spacing w:line="400" w:lineRule="exact"/>
              <w:rPr>
                <w:rFonts w:hint="eastAsia" w:ascii="仿宋_GB2312" w:hAnsi="宋体" w:eastAsia="仿宋_GB2312" w:cs="仿宋_GB2312"/>
                <w:i w:val="0"/>
                <w:color w:val="000000"/>
                <w:sz w:val="28"/>
                <w:szCs w:val="28"/>
                <w:u w:val="none"/>
              </w:rPr>
            </w:pPr>
          </w:p>
        </w:tc>
      </w:tr>
      <w:tr w14:paraId="0590EBBA">
        <w:tblPrEx>
          <w:tblCellMar>
            <w:top w:w="0" w:type="dxa"/>
            <w:left w:w="0" w:type="dxa"/>
            <w:bottom w:w="0" w:type="dxa"/>
            <w:right w:w="0" w:type="dxa"/>
          </w:tblCellMar>
        </w:tblPrEx>
        <w:trPr>
          <w:trHeight w:val="90"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BF4420">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宋体" w:eastAsia="仿宋_GB2312" w:cs="仿宋_GB2312"/>
                <w:i w:val="0"/>
                <w:color w:val="000000"/>
                <w:sz w:val="28"/>
                <w:szCs w:val="28"/>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6B4C6D">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宋体" w:eastAsia="仿宋_GB2312" w:cs="仿宋_GB2312"/>
                <w:i w:val="0"/>
                <w:color w:val="000000"/>
                <w:sz w:val="28"/>
                <w:szCs w:val="28"/>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45FE0">
            <w:pPr>
              <w:keepNext w:val="0"/>
              <w:keepLines w:val="0"/>
              <w:pageBreakBefore w:val="0"/>
              <w:kinsoku/>
              <w:wordWrap/>
              <w:overflowPunct/>
              <w:topLinePunct w:val="0"/>
              <w:autoSpaceDE/>
              <w:autoSpaceDN/>
              <w:bidi w:val="0"/>
              <w:adjustRightInd/>
              <w:snapToGrid/>
              <w:spacing w:line="400" w:lineRule="exact"/>
              <w:rPr>
                <w:rFonts w:hint="eastAsia" w:ascii="仿宋_GB2312" w:hAnsi="宋体" w:eastAsia="仿宋_GB2312" w:cs="仿宋_GB2312"/>
                <w:i w:val="0"/>
                <w:color w:val="000000"/>
                <w:sz w:val="28"/>
                <w:szCs w:val="28"/>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0E998B">
            <w:pPr>
              <w:keepNext w:val="0"/>
              <w:keepLines w:val="0"/>
              <w:pageBreakBefore w:val="0"/>
              <w:kinsoku/>
              <w:wordWrap/>
              <w:overflowPunct/>
              <w:topLinePunct w:val="0"/>
              <w:autoSpaceDE/>
              <w:autoSpaceDN/>
              <w:bidi w:val="0"/>
              <w:adjustRightInd/>
              <w:snapToGrid/>
              <w:spacing w:line="400" w:lineRule="exact"/>
              <w:rPr>
                <w:rFonts w:hint="eastAsia" w:ascii="仿宋_GB2312" w:hAnsi="宋体" w:eastAsia="仿宋_GB2312" w:cs="仿宋_GB2312"/>
                <w:i w:val="0"/>
                <w:color w:val="000000"/>
                <w:sz w:val="28"/>
                <w:szCs w:val="28"/>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FE0EFA">
            <w:pPr>
              <w:keepNext w:val="0"/>
              <w:keepLines w:val="0"/>
              <w:pageBreakBefore w:val="0"/>
              <w:kinsoku/>
              <w:wordWrap/>
              <w:overflowPunct/>
              <w:topLinePunct w:val="0"/>
              <w:autoSpaceDE/>
              <w:autoSpaceDN/>
              <w:bidi w:val="0"/>
              <w:adjustRightInd/>
              <w:snapToGrid/>
              <w:spacing w:line="400" w:lineRule="exact"/>
              <w:rPr>
                <w:rFonts w:hint="eastAsia" w:ascii="仿宋_GB2312" w:hAnsi="宋体" w:eastAsia="仿宋_GB2312" w:cs="仿宋_GB2312"/>
                <w:i w:val="0"/>
                <w:color w:val="000000"/>
                <w:sz w:val="28"/>
                <w:szCs w:val="28"/>
                <w:u w:val="none"/>
              </w:rPr>
            </w:pP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E6BF05">
            <w:pPr>
              <w:keepNext w:val="0"/>
              <w:keepLines w:val="0"/>
              <w:pageBreakBefore w:val="0"/>
              <w:kinsoku/>
              <w:wordWrap/>
              <w:overflowPunct/>
              <w:topLinePunct w:val="0"/>
              <w:autoSpaceDE/>
              <w:autoSpaceDN/>
              <w:bidi w:val="0"/>
              <w:adjustRightInd/>
              <w:snapToGrid/>
              <w:spacing w:line="400" w:lineRule="exact"/>
              <w:rPr>
                <w:rFonts w:hint="eastAsia" w:ascii="仿宋_GB2312" w:hAnsi="宋体" w:eastAsia="仿宋_GB2312" w:cs="仿宋_GB2312"/>
                <w:i w:val="0"/>
                <w:color w:val="000000"/>
                <w:sz w:val="28"/>
                <w:szCs w:val="28"/>
                <w:u w:val="none"/>
              </w:rPr>
            </w:pPr>
          </w:p>
        </w:tc>
      </w:tr>
      <w:tr w14:paraId="5C53281C">
        <w:tblPrEx>
          <w:tblCellMar>
            <w:top w:w="0" w:type="dxa"/>
            <w:left w:w="0" w:type="dxa"/>
            <w:bottom w:w="0" w:type="dxa"/>
            <w:right w:w="0" w:type="dxa"/>
          </w:tblCellMar>
        </w:tblPrEx>
        <w:trPr>
          <w:trHeight w:val="90"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B1750E">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宋体" w:eastAsia="仿宋_GB2312" w:cs="仿宋_GB2312"/>
                <w:i w:val="0"/>
                <w:color w:val="000000"/>
                <w:sz w:val="28"/>
                <w:szCs w:val="28"/>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4AE100">
            <w:pPr>
              <w:keepNext w:val="0"/>
              <w:keepLines w:val="0"/>
              <w:pageBreakBefore w:val="0"/>
              <w:kinsoku/>
              <w:wordWrap/>
              <w:overflowPunct/>
              <w:topLinePunct w:val="0"/>
              <w:autoSpaceDE/>
              <w:autoSpaceDN/>
              <w:bidi w:val="0"/>
              <w:adjustRightInd/>
              <w:snapToGrid/>
              <w:spacing w:line="400" w:lineRule="exact"/>
              <w:jc w:val="both"/>
              <w:rPr>
                <w:rFonts w:hint="eastAsia" w:ascii="仿宋_GB2312" w:hAnsi="宋体" w:eastAsia="仿宋_GB2312" w:cs="仿宋_GB2312"/>
                <w:i w:val="0"/>
                <w:color w:val="000000"/>
                <w:sz w:val="28"/>
                <w:szCs w:val="28"/>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77946D">
            <w:pPr>
              <w:keepNext w:val="0"/>
              <w:keepLines w:val="0"/>
              <w:pageBreakBefore w:val="0"/>
              <w:kinsoku/>
              <w:wordWrap/>
              <w:overflowPunct/>
              <w:topLinePunct w:val="0"/>
              <w:autoSpaceDE/>
              <w:autoSpaceDN/>
              <w:bidi w:val="0"/>
              <w:adjustRightInd/>
              <w:snapToGrid/>
              <w:spacing w:line="400" w:lineRule="exact"/>
              <w:rPr>
                <w:rFonts w:hint="eastAsia" w:ascii="仿宋_GB2312" w:hAnsi="宋体" w:eastAsia="仿宋_GB2312" w:cs="仿宋_GB2312"/>
                <w:i w:val="0"/>
                <w:color w:val="000000"/>
                <w:sz w:val="28"/>
                <w:szCs w:val="28"/>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476AC">
            <w:pPr>
              <w:keepNext w:val="0"/>
              <w:keepLines w:val="0"/>
              <w:pageBreakBefore w:val="0"/>
              <w:kinsoku/>
              <w:wordWrap/>
              <w:overflowPunct/>
              <w:topLinePunct w:val="0"/>
              <w:autoSpaceDE/>
              <w:autoSpaceDN/>
              <w:bidi w:val="0"/>
              <w:adjustRightInd/>
              <w:snapToGrid/>
              <w:spacing w:line="400" w:lineRule="exact"/>
              <w:rPr>
                <w:rFonts w:hint="eastAsia" w:ascii="仿宋_GB2312" w:hAnsi="宋体" w:eastAsia="仿宋_GB2312" w:cs="仿宋_GB2312"/>
                <w:i w:val="0"/>
                <w:color w:val="000000"/>
                <w:sz w:val="28"/>
                <w:szCs w:val="28"/>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D4168A">
            <w:pPr>
              <w:keepNext w:val="0"/>
              <w:keepLines w:val="0"/>
              <w:pageBreakBefore w:val="0"/>
              <w:kinsoku/>
              <w:wordWrap/>
              <w:overflowPunct/>
              <w:topLinePunct w:val="0"/>
              <w:autoSpaceDE/>
              <w:autoSpaceDN/>
              <w:bidi w:val="0"/>
              <w:adjustRightInd/>
              <w:snapToGrid/>
              <w:spacing w:line="400" w:lineRule="exact"/>
              <w:rPr>
                <w:rFonts w:hint="eastAsia" w:ascii="仿宋_GB2312" w:hAnsi="宋体" w:eastAsia="仿宋_GB2312" w:cs="仿宋_GB2312"/>
                <w:i w:val="0"/>
                <w:color w:val="000000"/>
                <w:sz w:val="28"/>
                <w:szCs w:val="28"/>
                <w:u w:val="none"/>
              </w:rPr>
            </w:pPr>
          </w:p>
        </w:tc>
        <w:tc>
          <w:tcPr>
            <w:tcW w:w="1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7D4A45">
            <w:pPr>
              <w:keepNext w:val="0"/>
              <w:keepLines w:val="0"/>
              <w:pageBreakBefore w:val="0"/>
              <w:kinsoku/>
              <w:wordWrap/>
              <w:overflowPunct/>
              <w:topLinePunct w:val="0"/>
              <w:autoSpaceDE/>
              <w:autoSpaceDN/>
              <w:bidi w:val="0"/>
              <w:adjustRightInd/>
              <w:snapToGrid/>
              <w:spacing w:line="400" w:lineRule="exact"/>
              <w:rPr>
                <w:rFonts w:hint="eastAsia" w:ascii="仿宋_GB2312" w:hAnsi="宋体" w:eastAsia="仿宋_GB2312" w:cs="仿宋_GB2312"/>
                <w:i w:val="0"/>
                <w:color w:val="000000"/>
                <w:sz w:val="28"/>
                <w:szCs w:val="28"/>
                <w:u w:val="none"/>
              </w:rPr>
            </w:pPr>
          </w:p>
        </w:tc>
      </w:tr>
      <w:tr w14:paraId="14743204">
        <w:tblPrEx>
          <w:tblCellMar>
            <w:top w:w="0" w:type="dxa"/>
            <w:left w:w="0" w:type="dxa"/>
            <w:bottom w:w="0" w:type="dxa"/>
            <w:right w:w="0" w:type="dxa"/>
          </w:tblCellMar>
        </w:tblPrEx>
        <w:trPr>
          <w:trHeight w:val="90"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69EDDF">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宋体" w:eastAsia="仿宋_GB2312" w:cs="仿宋_GB2312"/>
                <w:i w:val="0"/>
                <w:color w:val="000000"/>
                <w:sz w:val="28"/>
                <w:szCs w:val="28"/>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072D9">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color w:val="000000"/>
                <w:sz w:val="28"/>
                <w:szCs w:val="28"/>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44F07">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color w:val="000000"/>
                <w:sz w:val="28"/>
                <w:szCs w:val="28"/>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440A0">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color w:val="000000"/>
                <w:sz w:val="28"/>
                <w:szCs w:val="28"/>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E0197">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color w:val="000000"/>
                <w:sz w:val="28"/>
                <w:szCs w:val="28"/>
                <w:u w:val="none"/>
              </w:rPr>
            </w:pP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229D8">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color w:val="000000"/>
                <w:sz w:val="28"/>
                <w:szCs w:val="28"/>
                <w:u w:val="none"/>
              </w:rPr>
            </w:pPr>
          </w:p>
        </w:tc>
      </w:tr>
      <w:tr w14:paraId="0158D50B">
        <w:tblPrEx>
          <w:tblCellMar>
            <w:top w:w="0" w:type="dxa"/>
            <w:left w:w="0" w:type="dxa"/>
            <w:bottom w:w="0" w:type="dxa"/>
            <w:right w:w="0" w:type="dxa"/>
          </w:tblCellMar>
        </w:tblPrEx>
        <w:trPr>
          <w:trHeight w:val="90" w:hRule="atLeast"/>
        </w:trPr>
        <w:tc>
          <w:tcPr>
            <w:tcW w:w="10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4B3EDB">
            <w:pPr>
              <w:keepNext w:val="0"/>
              <w:keepLines w:val="0"/>
              <w:pageBreakBefore w:val="0"/>
              <w:kinsoku/>
              <w:wordWrap/>
              <w:overflowPunct/>
              <w:topLinePunct w:val="0"/>
              <w:autoSpaceDE/>
              <w:autoSpaceDN/>
              <w:bidi w:val="0"/>
              <w:adjustRightInd/>
              <w:snapToGrid/>
              <w:spacing w:line="400" w:lineRule="exact"/>
              <w:jc w:val="center"/>
              <w:rPr>
                <w:rFonts w:hint="eastAsia" w:ascii="仿宋_GB2312" w:hAnsi="宋体" w:eastAsia="仿宋_GB2312" w:cs="仿宋_GB2312"/>
                <w:i w:val="0"/>
                <w:color w:val="000000"/>
                <w:sz w:val="28"/>
                <w:szCs w:val="28"/>
                <w:u w:val="none"/>
              </w:rPr>
            </w:pP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C63A8">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color w:val="000000"/>
                <w:sz w:val="28"/>
                <w:szCs w:val="28"/>
                <w:u w:val="none"/>
              </w:rPr>
            </w:pPr>
          </w:p>
        </w:tc>
        <w:tc>
          <w:tcPr>
            <w:tcW w:w="12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90E9E">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color w:val="000000"/>
                <w:sz w:val="28"/>
                <w:szCs w:val="28"/>
                <w:u w:val="none"/>
              </w:rPr>
            </w:pPr>
          </w:p>
        </w:tc>
        <w:tc>
          <w:tcPr>
            <w:tcW w:w="16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C18B0">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color w:val="000000"/>
                <w:sz w:val="28"/>
                <w:szCs w:val="28"/>
                <w:u w:val="none"/>
              </w:rPr>
            </w:pPr>
          </w:p>
        </w:tc>
        <w:tc>
          <w:tcPr>
            <w:tcW w:w="16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3DAC9">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color w:val="000000"/>
                <w:sz w:val="28"/>
                <w:szCs w:val="28"/>
                <w:u w:val="none"/>
              </w:rPr>
            </w:pPr>
          </w:p>
        </w:tc>
        <w:tc>
          <w:tcPr>
            <w:tcW w:w="16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EF3A7">
            <w:pPr>
              <w:keepNext w:val="0"/>
              <w:keepLines w:val="0"/>
              <w:pageBreakBefore w:val="0"/>
              <w:kinsoku/>
              <w:wordWrap/>
              <w:overflowPunct/>
              <w:topLinePunct w:val="0"/>
              <w:autoSpaceDE/>
              <w:autoSpaceDN/>
              <w:bidi w:val="0"/>
              <w:adjustRightInd/>
              <w:snapToGrid/>
              <w:spacing w:line="400" w:lineRule="exact"/>
              <w:rPr>
                <w:rFonts w:hint="eastAsia" w:ascii="宋体" w:hAnsi="宋体" w:eastAsia="宋体" w:cs="宋体"/>
                <w:i w:val="0"/>
                <w:color w:val="000000"/>
                <w:sz w:val="28"/>
                <w:szCs w:val="28"/>
                <w:u w:val="none"/>
              </w:rPr>
            </w:pPr>
          </w:p>
        </w:tc>
      </w:tr>
      <w:tr w14:paraId="261A49B4">
        <w:tblPrEx>
          <w:tblCellMar>
            <w:top w:w="0" w:type="dxa"/>
            <w:left w:w="0" w:type="dxa"/>
            <w:bottom w:w="0" w:type="dxa"/>
            <w:right w:w="0" w:type="dxa"/>
          </w:tblCellMar>
        </w:tblPrEx>
        <w:trPr>
          <w:trHeight w:val="389" w:hRule="atLeast"/>
        </w:trPr>
        <w:tc>
          <w:tcPr>
            <w:tcW w:w="8579"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F40362">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郑重承诺：本单位申请2024年井研县农业社会化服务项目承接主体所提交的所有申报资料真实、准确、可靠、合法，如有不实之处，愿意承担由此产生的一切后果。</w:t>
            </w:r>
          </w:p>
          <w:p w14:paraId="4874EB97">
            <w:pPr>
              <w:keepNext w:val="0"/>
              <w:keepLines w:val="0"/>
              <w:pageBreakBefore w:val="0"/>
              <w:widowControl w:val="0"/>
              <w:kinsoku/>
              <w:wordWrap/>
              <w:overflowPunct/>
              <w:topLinePunct w:val="0"/>
              <w:autoSpaceDE/>
              <w:autoSpaceDN/>
              <w:bidi w:val="0"/>
              <w:adjustRightInd/>
              <w:snapToGrid/>
              <w:spacing w:line="400" w:lineRule="exact"/>
              <w:ind w:firstLine="3640" w:firstLineChars="1300"/>
              <w:textAlignment w:val="auto"/>
              <w:rPr>
                <w:rFonts w:hint="eastAsia"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法定代表人（签字）：</w:t>
            </w:r>
          </w:p>
          <w:p w14:paraId="51A8A439">
            <w:pPr>
              <w:keepNext w:val="0"/>
              <w:keepLines w:val="0"/>
              <w:pageBreakBefore w:val="0"/>
              <w:widowControl w:val="0"/>
              <w:kinsoku/>
              <w:wordWrap/>
              <w:overflowPunct/>
              <w:topLinePunct w:val="0"/>
              <w:autoSpaceDE/>
              <w:autoSpaceDN/>
              <w:bidi w:val="0"/>
              <w:adjustRightInd/>
              <w:snapToGrid/>
              <w:spacing w:line="400" w:lineRule="exact"/>
              <w:ind w:firstLine="3640" w:firstLineChars="1300"/>
              <w:textAlignment w:val="auto"/>
              <w:rPr>
                <w:rFonts w:hint="eastAsia"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单位（盖章）：</w:t>
            </w:r>
          </w:p>
          <w:p w14:paraId="020C8F01">
            <w:pPr>
              <w:keepNext w:val="0"/>
              <w:keepLines w:val="0"/>
              <w:pageBreakBefore w:val="0"/>
              <w:widowControl w:val="0"/>
              <w:kinsoku/>
              <w:wordWrap/>
              <w:overflowPunct/>
              <w:topLinePunct w:val="0"/>
              <w:autoSpaceDE/>
              <w:autoSpaceDN/>
              <w:bidi w:val="0"/>
              <w:adjustRightInd/>
              <w:snapToGrid/>
              <w:spacing w:line="400" w:lineRule="exact"/>
              <w:ind w:firstLine="6440" w:firstLineChars="2300"/>
              <w:textAlignment w:val="auto"/>
              <w:rPr>
                <w:rFonts w:hint="eastAsia" w:ascii="仿宋_GB2312" w:hAnsi="仿宋_GB2312" w:eastAsia="仿宋_GB2312" w:cs="仿宋_GB2312"/>
                <w:i w:val="0"/>
                <w:color w:val="000000"/>
                <w:sz w:val="28"/>
                <w:szCs w:val="28"/>
                <w:u w:val="none"/>
                <w:lang w:val="en-US" w:eastAsia="zh-CN"/>
              </w:rPr>
            </w:pPr>
            <w:r>
              <w:rPr>
                <w:rFonts w:hint="eastAsia" w:ascii="仿宋_GB2312" w:hAnsi="仿宋_GB2312" w:eastAsia="仿宋_GB2312" w:cs="仿宋_GB2312"/>
                <w:i w:val="0"/>
                <w:color w:val="000000"/>
                <w:sz w:val="28"/>
                <w:szCs w:val="28"/>
                <w:u w:val="none"/>
                <w:lang w:val="en-US" w:eastAsia="zh-CN"/>
              </w:rPr>
              <w:t xml:space="preserve"> 年   月   日</w:t>
            </w:r>
          </w:p>
          <w:p w14:paraId="5D225F8F">
            <w:pPr>
              <w:keepNext w:val="0"/>
              <w:keepLines w:val="0"/>
              <w:pageBreakBefore w:val="0"/>
              <w:kinsoku/>
              <w:wordWrap/>
              <w:overflowPunct/>
              <w:topLinePunct w:val="0"/>
              <w:autoSpaceDE/>
              <w:autoSpaceDN/>
              <w:bidi w:val="0"/>
              <w:adjustRightInd/>
              <w:snapToGrid/>
              <w:spacing w:line="400" w:lineRule="exact"/>
              <w:rPr>
                <w:rFonts w:hint="default" w:ascii="宋体" w:hAnsi="宋体" w:eastAsia="宋体" w:cs="宋体"/>
                <w:i w:val="0"/>
                <w:color w:val="000000"/>
                <w:sz w:val="28"/>
                <w:szCs w:val="28"/>
                <w:u w:val="none"/>
                <w:lang w:val="en-US" w:eastAsia="zh-CN"/>
              </w:rPr>
            </w:pPr>
          </w:p>
        </w:tc>
      </w:tr>
      <w:tr w14:paraId="19F24AD7">
        <w:tblPrEx>
          <w:tblCellMar>
            <w:top w:w="0" w:type="dxa"/>
            <w:left w:w="0" w:type="dxa"/>
            <w:bottom w:w="0" w:type="dxa"/>
            <w:right w:w="0" w:type="dxa"/>
          </w:tblCellMar>
        </w:tblPrEx>
        <w:trPr>
          <w:trHeight w:val="90" w:hRule="atLeast"/>
        </w:trPr>
        <w:tc>
          <w:tcPr>
            <w:tcW w:w="1089" w:type="dxa"/>
            <w:tcBorders>
              <w:top w:val="nil"/>
              <w:left w:val="nil"/>
              <w:bottom w:val="nil"/>
              <w:right w:val="nil"/>
            </w:tcBorders>
            <w:shd w:val="clear" w:color="auto" w:fill="auto"/>
            <w:noWrap/>
            <w:tcMar>
              <w:top w:w="15" w:type="dxa"/>
              <w:left w:w="15" w:type="dxa"/>
              <w:right w:w="15" w:type="dxa"/>
            </w:tcMar>
            <w:vAlign w:val="center"/>
          </w:tcPr>
          <w:p w14:paraId="0C1A98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填写说明：</w:t>
            </w:r>
          </w:p>
        </w:tc>
        <w:tc>
          <w:tcPr>
            <w:tcW w:w="7490" w:type="dxa"/>
            <w:gridSpan w:val="5"/>
            <w:tcBorders>
              <w:top w:val="nil"/>
              <w:left w:val="nil"/>
              <w:bottom w:val="nil"/>
              <w:right w:val="nil"/>
            </w:tcBorders>
            <w:shd w:val="clear" w:color="auto" w:fill="auto"/>
            <w:noWrap/>
            <w:tcMar>
              <w:top w:w="15" w:type="dxa"/>
              <w:left w:w="15" w:type="dxa"/>
              <w:right w:w="15" w:type="dxa"/>
            </w:tcMar>
            <w:vAlign w:val="center"/>
          </w:tcPr>
          <w:p w14:paraId="361A0B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1.服务环节按照耕、种、防、收服务环节逐项填写。</w:t>
            </w:r>
          </w:p>
        </w:tc>
      </w:tr>
      <w:tr w14:paraId="10AA2478">
        <w:tblPrEx>
          <w:tblCellMar>
            <w:top w:w="0" w:type="dxa"/>
            <w:left w:w="0" w:type="dxa"/>
            <w:bottom w:w="0" w:type="dxa"/>
            <w:right w:w="0" w:type="dxa"/>
          </w:tblCellMar>
        </w:tblPrEx>
        <w:trPr>
          <w:trHeight w:val="90" w:hRule="atLeast"/>
        </w:trPr>
        <w:tc>
          <w:tcPr>
            <w:tcW w:w="1089" w:type="dxa"/>
            <w:tcBorders>
              <w:top w:val="nil"/>
              <w:left w:val="nil"/>
              <w:bottom w:val="nil"/>
              <w:right w:val="nil"/>
            </w:tcBorders>
            <w:shd w:val="clear" w:color="auto" w:fill="auto"/>
            <w:noWrap/>
            <w:tcMar>
              <w:top w:w="15" w:type="dxa"/>
              <w:left w:w="15" w:type="dxa"/>
              <w:right w:w="15" w:type="dxa"/>
            </w:tcMar>
            <w:vAlign w:val="center"/>
          </w:tcPr>
          <w:p w14:paraId="65194BF9">
            <w:pPr>
              <w:rPr>
                <w:rFonts w:hint="eastAsia" w:ascii="宋体" w:hAnsi="宋体" w:eastAsia="宋体" w:cs="宋体"/>
                <w:i w:val="0"/>
                <w:color w:val="000000"/>
                <w:sz w:val="22"/>
                <w:szCs w:val="22"/>
                <w:u w:val="none"/>
              </w:rPr>
            </w:pPr>
          </w:p>
        </w:tc>
        <w:tc>
          <w:tcPr>
            <w:tcW w:w="7490" w:type="dxa"/>
            <w:gridSpan w:val="5"/>
            <w:tcBorders>
              <w:top w:val="nil"/>
              <w:left w:val="nil"/>
              <w:bottom w:val="nil"/>
              <w:right w:val="nil"/>
            </w:tcBorders>
            <w:shd w:val="clear" w:color="auto" w:fill="auto"/>
            <w:tcMar>
              <w:top w:w="15" w:type="dxa"/>
              <w:left w:w="15" w:type="dxa"/>
              <w:right w:w="15" w:type="dxa"/>
            </w:tcMar>
            <w:vAlign w:val="center"/>
          </w:tcPr>
          <w:p w14:paraId="6B0FB3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2.支持环节按照深耕深松、育秧、插秧、统防统治、机收逐项填写。</w:t>
            </w:r>
          </w:p>
        </w:tc>
      </w:tr>
      <w:tr w14:paraId="22347F5A">
        <w:tblPrEx>
          <w:tblCellMar>
            <w:top w:w="0" w:type="dxa"/>
            <w:left w:w="0" w:type="dxa"/>
            <w:bottom w:w="0" w:type="dxa"/>
            <w:right w:w="0" w:type="dxa"/>
          </w:tblCellMar>
        </w:tblPrEx>
        <w:trPr>
          <w:trHeight w:val="90" w:hRule="atLeast"/>
        </w:trPr>
        <w:tc>
          <w:tcPr>
            <w:tcW w:w="1089" w:type="dxa"/>
            <w:tcBorders>
              <w:top w:val="nil"/>
              <w:left w:val="nil"/>
              <w:bottom w:val="nil"/>
              <w:right w:val="nil"/>
            </w:tcBorders>
            <w:shd w:val="clear" w:color="auto" w:fill="auto"/>
            <w:noWrap/>
            <w:tcMar>
              <w:top w:w="15" w:type="dxa"/>
              <w:left w:w="15" w:type="dxa"/>
              <w:right w:w="15" w:type="dxa"/>
            </w:tcMar>
            <w:vAlign w:val="center"/>
          </w:tcPr>
          <w:p w14:paraId="61A048D2">
            <w:pPr>
              <w:rPr>
                <w:rFonts w:hint="eastAsia" w:ascii="宋体" w:hAnsi="宋体" w:eastAsia="宋体" w:cs="宋体"/>
                <w:i w:val="0"/>
                <w:color w:val="000000"/>
                <w:sz w:val="22"/>
                <w:szCs w:val="22"/>
                <w:u w:val="none"/>
              </w:rPr>
            </w:pPr>
          </w:p>
        </w:tc>
        <w:tc>
          <w:tcPr>
            <w:tcW w:w="7490" w:type="dxa"/>
            <w:gridSpan w:val="5"/>
            <w:tcBorders>
              <w:top w:val="nil"/>
              <w:left w:val="nil"/>
              <w:bottom w:val="nil"/>
              <w:right w:val="nil"/>
            </w:tcBorders>
            <w:shd w:val="clear" w:color="auto" w:fill="auto"/>
            <w:noWrap/>
            <w:tcMar>
              <w:top w:w="15" w:type="dxa"/>
              <w:left w:w="15" w:type="dxa"/>
              <w:right w:w="15" w:type="dxa"/>
            </w:tcMar>
            <w:vAlign w:val="center"/>
          </w:tcPr>
          <w:p w14:paraId="50720A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3.品种可填写水稻、玉米、大豆、油菜等粮油作物。</w:t>
            </w:r>
          </w:p>
        </w:tc>
      </w:tr>
      <w:tr w14:paraId="284AA017">
        <w:tblPrEx>
          <w:tblCellMar>
            <w:top w:w="0" w:type="dxa"/>
            <w:left w:w="0" w:type="dxa"/>
            <w:bottom w:w="0" w:type="dxa"/>
            <w:right w:w="0" w:type="dxa"/>
          </w:tblCellMar>
        </w:tblPrEx>
        <w:trPr>
          <w:trHeight w:val="90" w:hRule="atLeast"/>
        </w:trPr>
        <w:tc>
          <w:tcPr>
            <w:tcW w:w="1089" w:type="dxa"/>
            <w:tcBorders>
              <w:top w:val="nil"/>
              <w:left w:val="nil"/>
              <w:bottom w:val="nil"/>
              <w:right w:val="nil"/>
            </w:tcBorders>
            <w:shd w:val="clear" w:color="auto" w:fill="auto"/>
            <w:noWrap/>
            <w:tcMar>
              <w:top w:w="15" w:type="dxa"/>
              <w:left w:w="15" w:type="dxa"/>
              <w:right w:w="15" w:type="dxa"/>
            </w:tcMar>
            <w:vAlign w:val="center"/>
          </w:tcPr>
          <w:p w14:paraId="18530244">
            <w:pPr>
              <w:rPr>
                <w:rFonts w:hint="eastAsia" w:ascii="宋体" w:hAnsi="宋体" w:eastAsia="宋体" w:cs="宋体"/>
                <w:i w:val="0"/>
                <w:color w:val="000000"/>
                <w:sz w:val="22"/>
                <w:szCs w:val="22"/>
                <w:u w:val="none"/>
              </w:rPr>
            </w:pPr>
          </w:p>
        </w:tc>
        <w:tc>
          <w:tcPr>
            <w:tcW w:w="7490" w:type="dxa"/>
            <w:gridSpan w:val="5"/>
            <w:tcBorders>
              <w:top w:val="nil"/>
              <w:left w:val="nil"/>
              <w:bottom w:val="nil"/>
              <w:right w:val="nil"/>
            </w:tcBorders>
            <w:shd w:val="clear" w:color="auto" w:fill="auto"/>
            <w:noWrap/>
            <w:tcMar>
              <w:top w:w="15" w:type="dxa"/>
              <w:left w:w="15" w:type="dxa"/>
              <w:right w:w="15" w:type="dxa"/>
            </w:tcMar>
            <w:vAlign w:val="center"/>
          </w:tcPr>
          <w:p w14:paraId="41B54957">
            <w:pPr>
              <w:keepNext w:val="0"/>
              <w:keepLines w:val="0"/>
              <w:widowControl/>
              <w:numPr>
                <w:ilvl w:val="0"/>
                <w:numId w:val="0"/>
              </w:numPr>
              <w:suppressLineNumbers w:val="0"/>
              <w:jc w:val="left"/>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4.育秧面积：大田移栽面积=1:100。</w:t>
            </w:r>
          </w:p>
        </w:tc>
      </w:tr>
    </w:tbl>
    <w:p w14:paraId="4043FB67">
      <w:pPr>
        <w:rPr>
          <w:rFonts w:hint="default"/>
          <w:sz w:val="32"/>
          <w:szCs w:val="32"/>
          <w:lang w:val="en-US" w:eastAsia="zh-CN"/>
        </w:rPr>
      </w:pPr>
    </w:p>
    <w:sectPr>
      <w:pgSz w:w="11906" w:h="16838"/>
      <w:pgMar w:top="2041" w:right="1468" w:bottom="1587" w:left="146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jODM0YjQ1NzcyNjU5YmRhYjgxOWQ0MTZmY2VjMTYifQ=="/>
  </w:docVars>
  <w:rsids>
    <w:rsidRoot w:val="604010F1"/>
    <w:rsid w:val="0018099E"/>
    <w:rsid w:val="001A2968"/>
    <w:rsid w:val="01171976"/>
    <w:rsid w:val="02274EC8"/>
    <w:rsid w:val="02A81884"/>
    <w:rsid w:val="05092FAB"/>
    <w:rsid w:val="051E0804"/>
    <w:rsid w:val="0571302A"/>
    <w:rsid w:val="065F7326"/>
    <w:rsid w:val="076D15CF"/>
    <w:rsid w:val="079052BE"/>
    <w:rsid w:val="083876EB"/>
    <w:rsid w:val="084F5179"/>
    <w:rsid w:val="08E21B49"/>
    <w:rsid w:val="093A3733"/>
    <w:rsid w:val="094E5430"/>
    <w:rsid w:val="09D345AE"/>
    <w:rsid w:val="0A0501E5"/>
    <w:rsid w:val="0A8455AD"/>
    <w:rsid w:val="0B00275A"/>
    <w:rsid w:val="0C4353B4"/>
    <w:rsid w:val="0C613EB5"/>
    <w:rsid w:val="0DCA6730"/>
    <w:rsid w:val="1092654A"/>
    <w:rsid w:val="112863DD"/>
    <w:rsid w:val="130746FB"/>
    <w:rsid w:val="13E56F84"/>
    <w:rsid w:val="141D6EBE"/>
    <w:rsid w:val="15487688"/>
    <w:rsid w:val="162D4D4B"/>
    <w:rsid w:val="16CB4564"/>
    <w:rsid w:val="175A7C35"/>
    <w:rsid w:val="19B94B48"/>
    <w:rsid w:val="1A077661"/>
    <w:rsid w:val="1A9829AF"/>
    <w:rsid w:val="1ADA4D76"/>
    <w:rsid w:val="1AE95342"/>
    <w:rsid w:val="1BDF6797"/>
    <w:rsid w:val="1D1B1CBB"/>
    <w:rsid w:val="1DDF7A40"/>
    <w:rsid w:val="1E41281E"/>
    <w:rsid w:val="20474C5B"/>
    <w:rsid w:val="2118056E"/>
    <w:rsid w:val="212504BC"/>
    <w:rsid w:val="216B6728"/>
    <w:rsid w:val="22E26EBD"/>
    <w:rsid w:val="23155153"/>
    <w:rsid w:val="231E77CA"/>
    <w:rsid w:val="23C640E9"/>
    <w:rsid w:val="254E4396"/>
    <w:rsid w:val="25682904"/>
    <w:rsid w:val="257C53A7"/>
    <w:rsid w:val="2601765A"/>
    <w:rsid w:val="26CC7C68"/>
    <w:rsid w:val="26F23447"/>
    <w:rsid w:val="274F7320"/>
    <w:rsid w:val="27624129"/>
    <w:rsid w:val="27910EB2"/>
    <w:rsid w:val="291F69D2"/>
    <w:rsid w:val="295C4854"/>
    <w:rsid w:val="29E928DF"/>
    <w:rsid w:val="29F413F4"/>
    <w:rsid w:val="2CBC252D"/>
    <w:rsid w:val="2D2D6F87"/>
    <w:rsid w:val="2DF91651"/>
    <w:rsid w:val="2E382087"/>
    <w:rsid w:val="2E4065E7"/>
    <w:rsid w:val="2ECB6A58"/>
    <w:rsid w:val="2F126434"/>
    <w:rsid w:val="2F364819"/>
    <w:rsid w:val="3064575B"/>
    <w:rsid w:val="30DD327D"/>
    <w:rsid w:val="311E37B6"/>
    <w:rsid w:val="31414E1F"/>
    <w:rsid w:val="31951A27"/>
    <w:rsid w:val="31FD7F77"/>
    <w:rsid w:val="320A7897"/>
    <w:rsid w:val="33FB69D2"/>
    <w:rsid w:val="347831DE"/>
    <w:rsid w:val="34B03573"/>
    <w:rsid w:val="34DA12D0"/>
    <w:rsid w:val="36D043B8"/>
    <w:rsid w:val="374B2E30"/>
    <w:rsid w:val="37B00EE0"/>
    <w:rsid w:val="38064733"/>
    <w:rsid w:val="38342E9A"/>
    <w:rsid w:val="387C0DC3"/>
    <w:rsid w:val="39496437"/>
    <w:rsid w:val="39A44A75"/>
    <w:rsid w:val="3A3556CD"/>
    <w:rsid w:val="3BDA652C"/>
    <w:rsid w:val="3BFC46CF"/>
    <w:rsid w:val="3D1E68EC"/>
    <w:rsid w:val="3D223947"/>
    <w:rsid w:val="3DF00289"/>
    <w:rsid w:val="3E43394E"/>
    <w:rsid w:val="3E6B3DB3"/>
    <w:rsid w:val="3F4F0FDF"/>
    <w:rsid w:val="3F974AFC"/>
    <w:rsid w:val="3FF725A2"/>
    <w:rsid w:val="4061165D"/>
    <w:rsid w:val="4093139F"/>
    <w:rsid w:val="40AC2646"/>
    <w:rsid w:val="431B6522"/>
    <w:rsid w:val="4450382F"/>
    <w:rsid w:val="46C155FF"/>
    <w:rsid w:val="47DB3D58"/>
    <w:rsid w:val="49BA174B"/>
    <w:rsid w:val="49D92FDB"/>
    <w:rsid w:val="4A5120AF"/>
    <w:rsid w:val="4A7E6C1C"/>
    <w:rsid w:val="4ADF3B5F"/>
    <w:rsid w:val="4B306168"/>
    <w:rsid w:val="4B676E9E"/>
    <w:rsid w:val="4BED5E07"/>
    <w:rsid w:val="4C024239"/>
    <w:rsid w:val="4C06157E"/>
    <w:rsid w:val="4C871DB8"/>
    <w:rsid w:val="4D5F4AE3"/>
    <w:rsid w:val="4D602E68"/>
    <w:rsid w:val="4E2F0959"/>
    <w:rsid w:val="4EAD187E"/>
    <w:rsid w:val="4ED96B17"/>
    <w:rsid w:val="4F9266A0"/>
    <w:rsid w:val="50D13F4A"/>
    <w:rsid w:val="522B1438"/>
    <w:rsid w:val="525766D1"/>
    <w:rsid w:val="53881B21"/>
    <w:rsid w:val="53B13BBE"/>
    <w:rsid w:val="5450503C"/>
    <w:rsid w:val="549E05E7"/>
    <w:rsid w:val="54CD2C7A"/>
    <w:rsid w:val="54FE4BE1"/>
    <w:rsid w:val="56802E81"/>
    <w:rsid w:val="56813E74"/>
    <w:rsid w:val="569021B1"/>
    <w:rsid w:val="583077A8"/>
    <w:rsid w:val="59CA1546"/>
    <w:rsid w:val="59D44F9F"/>
    <w:rsid w:val="5A1E1882"/>
    <w:rsid w:val="5B8A3673"/>
    <w:rsid w:val="5B9B13DC"/>
    <w:rsid w:val="5BC22E0D"/>
    <w:rsid w:val="5C245875"/>
    <w:rsid w:val="5C2D68AB"/>
    <w:rsid w:val="5E5835B4"/>
    <w:rsid w:val="5E8343A9"/>
    <w:rsid w:val="5ED05841"/>
    <w:rsid w:val="5F261904"/>
    <w:rsid w:val="604010F1"/>
    <w:rsid w:val="605F4F83"/>
    <w:rsid w:val="60936B26"/>
    <w:rsid w:val="615362B5"/>
    <w:rsid w:val="61A15272"/>
    <w:rsid w:val="61C251E9"/>
    <w:rsid w:val="6232193F"/>
    <w:rsid w:val="62433671"/>
    <w:rsid w:val="624C33EF"/>
    <w:rsid w:val="63147CC6"/>
    <w:rsid w:val="63D22876"/>
    <w:rsid w:val="64970BAF"/>
    <w:rsid w:val="64F47DAF"/>
    <w:rsid w:val="66B03A19"/>
    <w:rsid w:val="670443D3"/>
    <w:rsid w:val="672508E5"/>
    <w:rsid w:val="67627252"/>
    <w:rsid w:val="67EF53AA"/>
    <w:rsid w:val="6900336C"/>
    <w:rsid w:val="690A5DF3"/>
    <w:rsid w:val="69D0066A"/>
    <w:rsid w:val="6A837C0B"/>
    <w:rsid w:val="6A8E0419"/>
    <w:rsid w:val="6C9854C4"/>
    <w:rsid w:val="6D320499"/>
    <w:rsid w:val="6D9B51DF"/>
    <w:rsid w:val="6E777D22"/>
    <w:rsid w:val="6EB31E97"/>
    <w:rsid w:val="6ED529FF"/>
    <w:rsid w:val="6EF14382"/>
    <w:rsid w:val="6EFA06B8"/>
    <w:rsid w:val="6F305E87"/>
    <w:rsid w:val="6F4107E0"/>
    <w:rsid w:val="6F52741D"/>
    <w:rsid w:val="701D7FCD"/>
    <w:rsid w:val="70CB7081"/>
    <w:rsid w:val="71072C18"/>
    <w:rsid w:val="725D5F28"/>
    <w:rsid w:val="734F2A9A"/>
    <w:rsid w:val="74411A20"/>
    <w:rsid w:val="74866248"/>
    <w:rsid w:val="749649DF"/>
    <w:rsid w:val="751A5610"/>
    <w:rsid w:val="752E4C17"/>
    <w:rsid w:val="76591700"/>
    <w:rsid w:val="774C75D7"/>
    <w:rsid w:val="77B034B8"/>
    <w:rsid w:val="7828133E"/>
    <w:rsid w:val="78761C29"/>
    <w:rsid w:val="79183C14"/>
    <w:rsid w:val="7A8E7F0B"/>
    <w:rsid w:val="7A950C8B"/>
    <w:rsid w:val="7B581DE1"/>
    <w:rsid w:val="7B6E3FBF"/>
    <w:rsid w:val="7B75020D"/>
    <w:rsid w:val="7BDF7AA6"/>
    <w:rsid w:val="7CD12A58"/>
    <w:rsid w:val="7CFD384D"/>
    <w:rsid w:val="7DBC3708"/>
    <w:rsid w:val="7E1150D6"/>
    <w:rsid w:val="7F5410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00"/>
      <w:u w:val="none"/>
    </w:rPr>
  </w:style>
  <w:style w:type="character" w:customStyle="1" w:styleId="7">
    <w:name w:val="out"/>
    <w:basedOn w:val="5"/>
    <w:qFormat/>
    <w:uiPriority w:val="0"/>
  </w:style>
  <w:style w:type="character" w:customStyle="1" w:styleId="8">
    <w:name w:val="m08"/>
    <w:basedOn w:val="5"/>
    <w:qFormat/>
    <w:uiPriority w:val="0"/>
  </w:style>
  <w:style w:type="character" w:customStyle="1" w:styleId="9">
    <w:name w:val="m01"/>
    <w:basedOn w:val="5"/>
    <w:qFormat/>
    <w:uiPriority w:val="0"/>
  </w:style>
  <w:style w:type="character" w:customStyle="1" w:styleId="10">
    <w:name w:val="over"/>
    <w:basedOn w:val="5"/>
    <w:qFormat/>
    <w:uiPriority w:val="0"/>
    <w:rPr>
      <w:color w:val="000000"/>
    </w:rPr>
  </w:style>
  <w:style w:type="character" w:customStyle="1" w:styleId="11">
    <w:name w:val="over1"/>
    <w:basedOn w:val="5"/>
    <w:qFormat/>
    <w:uiPriority w:val="0"/>
  </w:style>
  <w:style w:type="character" w:customStyle="1" w:styleId="12">
    <w:name w:val="bg"/>
    <w:basedOn w:val="5"/>
    <w:qFormat/>
    <w:uiPriority w:val="0"/>
  </w:style>
  <w:style w:type="character" w:customStyle="1" w:styleId="13">
    <w:name w:val="m02"/>
    <w:basedOn w:val="5"/>
    <w:qFormat/>
    <w:uiPriority w:val="0"/>
  </w:style>
  <w:style w:type="character" w:customStyle="1" w:styleId="14">
    <w:name w:val="m04"/>
    <w:basedOn w:val="5"/>
    <w:qFormat/>
    <w:uiPriority w:val="0"/>
  </w:style>
  <w:style w:type="character" w:customStyle="1" w:styleId="15">
    <w:name w:val="hide"/>
    <w:basedOn w:val="5"/>
    <w:qFormat/>
    <w:uiPriority w:val="0"/>
    <w:rPr>
      <w:vanish/>
    </w:rPr>
  </w:style>
  <w:style w:type="character" w:customStyle="1" w:styleId="16">
    <w:name w:val="hide1"/>
    <w:basedOn w:val="5"/>
    <w:qFormat/>
    <w:uiPriority w:val="0"/>
    <w:rPr>
      <w:vanish/>
    </w:rPr>
  </w:style>
  <w:style w:type="character" w:customStyle="1" w:styleId="17">
    <w:name w:val="m03"/>
    <w:basedOn w:val="5"/>
    <w:qFormat/>
    <w:uiPriority w:val="0"/>
  </w:style>
  <w:style w:type="character" w:customStyle="1" w:styleId="18">
    <w:name w:val="m06"/>
    <w:basedOn w:val="5"/>
    <w:qFormat/>
    <w:uiPriority w:val="0"/>
  </w:style>
  <w:style w:type="character" w:customStyle="1" w:styleId="19">
    <w:name w:val="m05"/>
    <w:basedOn w:val="5"/>
    <w:qFormat/>
    <w:uiPriority w:val="0"/>
  </w:style>
  <w:style w:type="character" w:customStyle="1" w:styleId="20">
    <w:name w:val="m07"/>
    <w:basedOn w:val="5"/>
    <w:qFormat/>
    <w:uiPriority w:val="0"/>
  </w:style>
  <w:style w:type="character" w:customStyle="1" w:styleId="21">
    <w:name w:val="bds_more"/>
    <w:basedOn w:val="5"/>
    <w:qFormat/>
    <w:uiPriority w:val="0"/>
  </w:style>
  <w:style w:type="character" w:customStyle="1" w:styleId="22">
    <w:name w:val="bds_more1"/>
    <w:basedOn w:val="5"/>
    <w:qFormat/>
    <w:uiPriority w:val="0"/>
    <w:rPr>
      <w:rFonts w:hint="eastAsia" w:ascii="宋体" w:hAnsi="宋体" w:eastAsia="宋体" w:cs="宋体"/>
    </w:rPr>
  </w:style>
  <w:style w:type="character" w:customStyle="1" w:styleId="23">
    <w:name w:val="bds_more2"/>
    <w:basedOn w:val="5"/>
    <w:qFormat/>
    <w:uiPriority w:val="0"/>
  </w:style>
  <w:style w:type="character" w:customStyle="1" w:styleId="24">
    <w:name w:val="bds_nopic"/>
    <w:basedOn w:val="5"/>
    <w:qFormat/>
    <w:uiPriority w:val="0"/>
  </w:style>
  <w:style w:type="character" w:customStyle="1" w:styleId="25">
    <w:name w:val="bds_nopic1"/>
    <w:basedOn w:val="5"/>
    <w:qFormat/>
    <w:uiPriority w:val="0"/>
  </w:style>
  <w:style w:type="character" w:customStyle="1" w:styleId="26">
    <w:name w:val="bds_nopic2"/>
    <w:basedOn w:val="5"/>
    <w:qFormat/>
    <w:uiPriority w:val="0"/>
  </w:style>
  <w:style w:type="character" w:customStyle="1" w:styleId="27">
    <w:name w:val="txtl"/>
    <w:basedOn w:val="5"/>
    <w:qFormat/>
    <w:uiPriority w:val="0"/>
  </w:style>
  <w:style w:type="character" w:customStyle="1" w:styleId="28">
    <w:name w:val="txtr"/>
    <w:basedOn w:val="5"/>
    <w:qFormat/>
    <w:uiPriority w:val="0"/>
  </w:style>
  <w:style w:type="paragraph" w:customStyle="1" w:styleId="29">
    <w:name w:val="_Style 27"/>
    <w:basedOn w:val="1"/>
    <w:next w:val="1"/>
    <w:qFormat/>
    <w:uiPriority w:val="0"/>
    <w:pPr>
      <w:pBdr>
        <w:bottom w:val="single" w:color="auto" w:sz="6" w:space="1"/>
      </w:pBdr>
      <w:jc w:val="center"/>
    </w:pPr>
    <w:rPr>
      <w:rFonts w:ascii="Arial" w:eastAsia="宋体"/>
      <w:vanish/>
      <w:sz w:val="16"/>
    </w:rPr>
  </w:style>
  <w:style w:type="paragraph" w:customStyle="1" w:styleId="30">
    <w:name w:val="_Style 28"/>
    <w:basedOn w:val="1"/>
    <w:next w:val="1"/>
    <w:qFormat/>
    <w:uiPriority w:val="0"/>
    <w:pPr>
      <w:pBdr>
        <w:top w:val="single" w:color="auto" w:sz="6" w:space="1"/>
      </w:pBdr>
      <w:jc w:val="center"/>
    </w:pPr>
    <w:rPr>
      <w:rFonts w:ascii="Arial" w:eastAsia="宋体"/>
      <w:vanish/>
      <w:sz w:val="16"/>
    </w:rPr>
  </w:style>
  <w:style w:type="paragraph" w:customStyle="1" w:styleId="31">
    <w:name w:val="主标题"/>
    <w:basedOn w:val="1"/>
    <w:qFormat/>
    <w:uiPriority w:val="0"/>
    <w:pPr>
      <w:spacing w:line="700" w:lineRule="exact"/>
      <w:jc w:val="center"/>
    </w:pPr>
    <w:rPr>
      <w:rFonts w:eastAsia="方正小标宋简体"/>
      <w:b/>
      <w:sz w:val="44"/>
      <w:szCs w:val="20"/>
    </w:rPr>
  </w:style>
  <w:style w:type="paragraph" w:customStyle="1" w:styleId="32">
    <w:name w:val="一级标题"/>
    <w:basedOn w:val="1"/>
    <w:qFormat/>
    <w:uiPriority w:val="0"/>
    <w:pPr>
      <w:ind w:firstLine="632" w:firstLineChars="200"/>
    </w:pPr>
    <w:rPr>
      <w:rFonts w:ascii="黑体" w:hAnsi="黑体" w:eastAsia="黑体" w:cs="黑体"/>
      <w:sz w:val="32"/>
      <w:szCs w:val="32"/>
    </w:rPr>
  </w:style>
  <w:style w:type="character" w:customStyle="1" w:styleId="33">
    <w:name w:val="二级标题 Char"/>
    <w:basedOn w:val="5"/>
    <w:link w:val="34"/>
    <w:qFormat/>
    <w:locked/>
    <w:uiPriority w:val="0"/>
    <w:rPr>
      <w:rFonts w:ascii="楷体" w:hAnsi="楷体" w:eastAsia="楷体_GB2312" w:cs="楷体"/>
      <w:sz w:val="32"/>
      <w:szCs w:val="32"/>
    </w:rPr>
  </w:style>
  <w:style w:type="paragraph" w:customStyle="1" w:styleId="34">
    <w:name w:val="二级标题"/>
    <w:basedOn w:val="1"/>
    <w:link w:val="33"/>
    <w:qFormat/>
    <w:uiPriority w:val="0"/>
    <w:pPr>
      <w:ind w:firstLine="632" w:firstLineChars="200"/>
      <w:jc w:val="left"/>
    </w:pPr>
    <w:rPr>
      <w:rFonts w:ascii="楷体" w:hAnsi="楷体" w:eastAsia="楷体_GB2312" w:cs="楷体"/>
      <w:sz w:val="32"/>
      <w:szCs w:val="32"/>
    </w:rPr>
  </w:style>
  <w:style w:type="paragraph" w:customStyle="1" w:styleId="35">
    <w:name w:val="Char Char Char Char"/>
    <w:basedOn w:val="1"/>
    <w:qFormat/>
    <w:uiPriority w:val="0"/>
    <w:pPr>
      <w:widowControl/>
      <w:spacing w:after="160" w:line="240" w:lineRule="exact"/>
      <w:jc w:val="left"/>
    </w:pPr>
    <w:rPr>
      <w:rFonts w:ascii="Verdana" w:hAnsi="Verdana" w:eastAsia="仿宋_GB2312"/>
      <w:kern w:val="0"/>
      <w:sz w:val="20"/>
      <w:lang w:eastAsia="en-US"/>
    </w:rPr>
  </w:style>
  <w:style w:type="character" w:customStyle="1" w:styleId="36">
    <w:name w:val="NormalCharacter"/>
    <w:semiHidden/>
    <w:qFormat/>
    <w:uiPriority w:val="99"/>
  </w:style>
  <w:style w:type="paragraph" w:customStyle="1" w:styleId="37">
    <w:name w:val="列出段落1"/>
    <w:basedOn w:val="1"/>
    <w:qFormat/>
    <w:uiPriority w:val="0"/>
    <w:pPr>
      <w:ind w:firstLine="420" w:firstLineChars="200"/>
    </w:pPr>
  </w:style>
  <w:style w:type="character" w:customStyle="1" w:styleId="38">
    <w:name w:val="font91"/>
    <w:basedOn w:val="5"/>
    <w:qFormat/>
    <w:uiPriority w:val="0"/>
    <w:rPr>
      <w:rFonts w:hint="default" w:ascii="Times New Roman" w:hAnsi="Times New Roman" w:cs="Times New Roman"/>
      <w:b/>
      <w:color w:val="000000"/>
      <w:sz w:val="36"/>
      <w:szCs w:val="36"/>
      <w:u w:val="none"/>
    </w:rPr>
  </w:style>
  <w:style w:type="paragraph" w:customStyle="1" w:styleId="39">
    <w:name w:val=" Char Char Char Char Char Char Char"/>
    <w:basedOn w:val="1"/>
    <w:qFormat/>
    <w:uiPriority w:val="0"/>
    <w:rPr>
      <w:rFonts w:ascii="Times New Roman" w:eastAsia="宋体" w:cs="Times New Roman"/>
      <w:sz w:val="21"/>
      <w:szCs w:val="21"/>
    </w:rPr>
  </w:style>
  <w:style w:type="paragraph" w:customStyle="1" w:styleId="40">
    <w:name w:val="公文正文"/>
    <w:qFormat/>
    <w:uiPriority w:val="0"/>
    <w:pPr>
      <w:widowControl w:val="0"/>
      <w:spacing w:line="600" w:lineRule="exact"/>
      <w:ind w:firstLine="640" w:firstLineChars="200"/>
      <w:jc w:val="both"/>
    </w:pPr>
    <w:rPr>
      <w:rFonts w:ascii="Times New Roman" w:hAnsi="Times New Roman" w:eastAsia="仿宋_GB2312" w:cs="Times New Roman"/>
      <w:sz w:val="32"/>
      <w:szCs w:val="32"/>
    </w:rPr>
  </w:style>
  <w:style w:type="paragraph" w:customStyle="1" w:styleId="41">
    <w:name w:val="公文主标题"/>
    <w:qFormat/>
    <w:uiPriority w:val="0"/>
    <w:pPr>
      <w:spacing w:line="700" w:lineRule="exact"/>
      <w:jc w:val="center"/>
    </w:pPr>
    <w:rPr>
      <w:rFonts w:ascii="Times New Roman" w:hAnsi="Times New Roman" w:eastAsia="方正小标宋简体" w:cs="Times New Roman"/>
      <w:sz w:val="44"/>
      <w:szCs w:val="44"/>
    </w:rPr>
  </w:style>
  <w:style w:type="paragraph" w:customStyle="1" w:styleId="42">
    <w:name w:val="公文一级标题"/>
    <w:qFormat/>
    <w:uiPriority w:val="0"/>
    <w:pPr>
      <w:spacing w:line="600" w:lineRule="exact"/>
      <w:ind w:firstLine="640" w:firstLineChars="200"/>
    </w:pPr>
    <w:rPr>
      <w:rFonts w:ascii="Times New Roman" w:hAnsi="Times New Roman" w:eastAsia="黑体" w:cs="Times New Roman"/>
      <w:sz w:val="32"/>
    </w:rPr>
  </w:style>
  <w:style w:type="paragraph" w:customStyle="1" w:styleId="43">
    <w:name w:val="公文二级标题"/>
    <w:qFormat/>
    <w:uiPriority w:val="0"/>
    <w:pPr>
      <w:spacing w:line="600" w:lineRule="exact"/>
      <w:ind w:firstLine="640" w:firstLineChars="200"/>
    </w:pPr>
    <w:rPr>
      <w:rFonts w:ascii="Times New Roman" w:hAnsi="Times New Roman" w:eastAsia="楷体_GB2312" w:cs="Times New Roman"/>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5342</Words>
  <Characters>5801</Characters>
  <Lines>0</Lines>
  <Paragraphs>0</Paragraphs>
  <TotalTime>198</TotalTime>
  <ScaleCrop>false</ScaleCrop>
  <LinksUpToDate>false</LinksUpToDate>
  <CharactersWithSpaces>5918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2018-12-12T05:31:00Z</dcterms:created>
  <dc:creator>jiangs0803</dc:creator>
  <cp:lastModifiedBy>熊倩利</cp:lastModifiedBy>
  <cp:lastPrinted>2023-10-25T01:18:00Z</cp:lastPrinted>
  <dcterms:modified xsi:type="dcterms:W3CDTF">2025-04-01T06:32:25Z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F3D7AFC1468C404D93941F1074F8C05B_13</vt:lpwstr>
  </property>
  <property fmtid="{D5CDD505-2E9C-101B-9397-08002B2CF9AE}" pid="4" name="KSOTemplateDocerSaveRecord">
    <vt:lpwstr>eyJoZGlkIjoiZTg0YzQ4ZDliYTZlN2IwOWQ1ZjU4YThhOTZlNGM1MGUiLCJ1c2VySWQiOiI1NTk0OTk0ODAifQ==</vt:lpwstr>
  </property>
</Properties>
</file>