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5D8" w:rsidRPr="007A3150" w:rsidRDefault="0008672C">
      <w:pPr>
        <w:overflowPunct w:val="0"/>
        <w:jc w:val="center"/>
        <w:rPr>
          <w:rFonts w:ascii="方正小标宋简体" w:eastAsia="方正小标宋简体" w:hAnsi="方正小标宋简体" w:cs="Times New Roman"/>
          <w:sz w:val="44"/>
          <w:szCs w:val="44"/>
        </w:rPr>
      </w:pPr>
      <w:r w:rsidRPr="007A3150">
        <w:rPr>
          <w:rFonts w:ascii="方正小标宋简体" w:eastAsia="方正小标宋简体" w:hAnsi="方正小标宋简体" w:cs="Times New Roman" w:hint="eastAsia"/>
          <w:sz w:val="44"/>
          <w:szCs w:val="44"/>
        </w:rPr>
        <w:t>井研</w:t>
      </w:r>
      <w:r w:rsidRPr="007A3150">
        <w:rPr>
          <w:rFonts w:ascii="方正小标宋简体" w:eastAsia="方正小标宋简体" w:hAnsi="方正小标宋简体" w:cs="Times New Roman"/>
          <w:sz w:val="44"/>
          <w:szCs w:val="44"/>
        </w:rPr>
        <w:t>县烟草制品</w:t>
      </w:r>
      <w:r w:rsidRPr="007A3150">
        <w:rPr>
          <w:rFonts w:ascii="方正小标宋简体" w:eastAsia="方正小标宋简体" w:hAnsi="方正小标宋简体" w:cs="Times New Roman" w:hint="eastAsia"/>
          <w:sz w:val="44"/>
          <w:szCs w:val="44"/>
        </w:rPr>
        <w:t>零售点</w:t>
      </w:r>
      <w:r w:rsidRPr="007A3150">
        <w:rPr>
          <w:rFonts w:ascii="方正小标宋简体" w:eastAsia="方正小标宋简体" w:hAnsi="方正小标宋简体" w:cs="Times New Roman"/>
          <w:sz w:val="44"/>
          <w:szCs w:val="44"/>
        </w:rPr>
        <w:t>合理布局规划</w:t>
      </w:r>
    </w:p>
    <w:p w:rsidR="000065D8" w:rsidRDefault="000065D8">
      <w:pPr>
        <w:overflowPunct w:val="0"/>
        <w:ind w:firstLineChars="200" w:firstLine="640"/>
        <w:rPr>
          <w:rFonts w:ascii="Times New Roman" w:eastAsia="仿宋" w:hAnsi="Times New Roman" w:cs="Times New Roman"/>
          <w:sz w:val="32"/>
          <w:szCs w:val="32"/>
        </w:rPr>
      </w:pPr>
    </w:p>
    <w:p w:rsidR="000065D8" w:rsidRDefault="0008672C">
      <w:p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第一章总则</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第一条</w:t>
      </w:r>
      <w:r w:rsidR="007A3150">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为加强烟草专卖零售许可证管理，规范烟草制品流通秩序，贯彻落实国家乡村振兴发展战略，提升城乡</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合理布局一体化发展水平，维护国家利益和消费者利益，保障未成年人的合法权益，促进烟草市场健康发展，根据《中华人民共和国行政许可法》《中华人民共和国烟草专卖法》《中华人民共和国烟草专卖法实施条例》《烟草专卖许可证管理办法》（工信部</w:t>
      </w:r>
      <w:r>
        <w:rPr>
          <w:rFonts w:ascii="Times New Roman" w:eastAsia="仿宋" w:hAnsi="Times New Roman" w:cs="Times New Roman"/>
          <w:sz w:val="32"/>
          <w:szCs w:val="32"/>
        </w:rPr>
        <w:t>37</w:t>
      </w:r>
      <w:r>
        <w:rPr>
          <w:rFonts w:ascii="Times New Roman" w:eastAsia="仿宋" w:hAnsi="Times New Roman" w:cs="Times New Roman"/>
          <w:sz w:val="32"/>
          <w:szCs w:val="32"/>
        </w:rPr>
        <w:t>号令）、《烟草专卖许可证管理办法实施细则》（国烟法〔</w:t>
      </w:r>
      <w:r>
        <w:rPr>
          <w:rFonts w:ascii="Times New Roman" w:eastAsia="仿宋" w:hAnsi="Times New Roman" w:cs="Times New Roman"/>
          <w:sz w:val="32"/>
          <w:szCs w:val="32"/>
        </w:rPr>
        <w:t>2020</w:t>
      </w:r>
      <w:r>
        <w:rPr>
          <w:rFonts w:ascii="Times New Roman" w:eastAsia="仿宋" w:hAnsi="Times New Roman" w:cs="Times New Roman"/>
          <w:sz w:val="32"/>
          <w:szCs w:val="32"/>
        </w:rPr>
        <w:t>〕</w:t>
      </w:r>
      <w:r>
        <w:rPr>
          <w:rFonts w:ascii="Times New Roman" w:eastAsia="仿宋" w:hAnsi="Times New Roman" w:cs="Times New Roman"/>
          <w:sz w:val="32"/>
          <w:szCs w:val="32"/>
        </w:rPr>
        <w:t>205</w:t>
      </w:r>
      <w:r>
        <w:rPr>
          <w:rFonts w:ascii="Times New Roman" w:eastAsia="仿宋" w:hAnsi="Times New Roman" w:cs="Times New Roman"/>
          <w:sz w:val="32"/>
          <w:szCs w:val="32"/>
        </w:rPr>
        <w:t>号）等法律法规规章</w:t>
      </w:r>
      <w:r>
        <w:rPr>
          <w:rFonts w:ascii="Times New Roman" w:eastAsia="仿宋" w:hAnsi="Times New Roman" w:cs="Times New Roman" w:hint="eastAsia"/>
          <w:sz w:val="32"/>
          <w:szCs w:val="32"/>
        </w:rPr>
        <w:t>和规范性文件</w:t>
      </w:r>
      <w:r>
        <w:rPr>
          <w:rFonts w:ascii="Times New Roman" w:eastAsia="仿宋" w:hAnsi="Times New Roman" w:cs="Times New Roman"/>
          <w:sz w:val="32"/>
          <w:szCs w:val="32"/>
        </w:rPr>
        <w:t>规定，参照《烟草框架公约》，结合辖区实际，制定本规划。</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第二条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本规划所称烟草制品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（以下简称</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）是指经申请人申请，依法取得烟草专卖零售许可证（以下简称许可证），从事烟草制品零售业务的经营场所。</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第三条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本规划所称的</w:t>
      </w:r>
      <w:r>
        <w:rPr>
          <w:rFonts w:ascii="Times New Roman" w:eastAsia="仿宋" w:hAnsi="Times New Roman" w:cs="Times New Roman"/>
          <w:sz w:val="32"/>
          <w:szCs w:val="32"/>
        </w:rPr>
        <w:t>“</w:t>
      </w:r>
      <w:r>
        <w:rPr>
          <w:rFonts w:ascii="Times New Roman" w:eastAsia="仿宋" w:hAnsi="Times New Roman" w:cs="Times New Roman"/>
          <w:sz w:val="32"/>
          <w:szCs w:val="32"/>
        </w:rPr>
        <w:t>经营场所</w:t>
      </w:r>
      <w:r>
        <w:rPr>
          <w:rFonts w:ascii="Times New Roman" w:eastAsia="仿宋" w:hAnsi="Times New Roman" w:cs="Times New Roman"/>
          <w:sz w:val="32"/>
          <w:szCs w:val="32"/>
        </w:rPr>
        <w:t>”</w:t>
      </w:r>
      <w:r>
        <w:rPr>
          <w:rFonts w:ascii="Times New Roman" w:eastAsia="仿宋" w:hAnsi="Times New Roman" w:cs="Times New Roman"/>
          <w:sz w:val="32"/>
          <w:szCs w:val="32"/>
        </w:rPr>
        <w:t>是指从事烟草制品经营活动的固定地点，与居住场所在空间上相分离、相独立，在物理特性上应有实体墙相隔离或有明确的区域界线。多个门牌地址的商铺店面经改造、扩建，构成无明显</w:t>
      </w:r>
      <w:r>
        <w:rPr>
          <w:rFonts w:ascii="Times New Roman" w:eastAsia="仿宋" w:hAnsi="Times New Roman" w:cs="Times New Roman"/>
          <w:sz w:val="32"/>
          <w:szCs w:val="32"/>
        </w:rPr>
        <w:lastRenderedPageBreak/>
        <w:t>物理分隔的同一空间的场所，视为同一个经营场所。</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第四条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本规划适用于</w:t>
      </w:r>
      <w:r>
        <w:rPr>
          <w:rFonts w:ascii="Times New Roman" w:eastAsia="仿宋" w:hAnsi="Times New Roman" w:cs="Times New Roman" w:hint="eastAsia"/>
          <w:sz w:val="32"/>
          <w:szCs w:val="32"/>
        </w:rPr>
        <w:t>井研</w:t>
      </w:r>
      <w:r>
        <w:rPr>
          <w:rFonts w:ascii="Times New Roman" w:eastAsia="仿宋" w:hAnsi="Times New Roman" w:cs="Times New Roman"/>
          <w:sz w:val="32"/>
          <w:szCs w:val="32"/>
        </w:rPr>
        <w:t>县烟草专卖局辖区范围内烟草制品零售许可类事项的办理。电子烟</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布局按照《四川省电子烟</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布局规划》执行。</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第五条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布局遵循以下原则：坚持依法行政、科学规划、均衡发展、服务社会的原则；坚持尊重历史、实事求是、按需布局、动态平衡的原则；坚持公开透明、履约尽责、定期评估、适时调整的原则。</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第六条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sz w:val="32"/>
          <w:szCs w:val="32"/>
        </w:rPr>
        <w:t>井研县</w:t>
      </w:r>
      <w:r>
        <w:rPr>
          <w:rFonts w:ascii="Times New Roman" w:eastAsia="仿宋" w:hAnsi="Times New Roman" w:cs="Times New Roman"/>
          <w:sz w:val="32"/>
          <w:szCs w:val="32"/>
        </w:rPr>
        <w:t>行政区域内</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布局采取以</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和限制性条件</w:t>
      </w:r>
      <w:r>
        <w:rPr>
          <w:rFonts w:ascii="Times New Roman" w:eastAsia="仿宋" w:hAnsi="Times New Roman" w:cs="Times New Roman"/>
          <w:sz w:val="32"/>
          <w:szCs w:val="32"/>
        </w:rPr>
        <w:t>为标准的布局</w:t>
      </w:r>
      <w:r>
        <w:rPr>
          <w:rFonts w:ascii="Times New Roman" w:eastAsia="仿宋" w:hAnsi="Times New Roman" w:cs="Times New Roman" w:hint="eastAsia"/>
          <w:sz w:val="32"/>
          <w:szCs w:val="32"/>
        </w:rPr>
        <w:t>控制模式</w:t>
      </w:r>
      <w:r>
        <w:rPr>
          <w:rFonts w:ascii="Times New Roman" w:eastAsia="仿宋" w:hAnsi="Times New Roman" w:cs="Times New Roman"/>
          <w:sz w:val="32"/>
          <w:szCs w:val="32"/>
        </w:rPr>
        <w:t>，以人口</w:t>
      </w:r>
      <w:r>
        <w:rPr>
          <w:rFonts w:ascii="Times New Roman" w:eastAsia="仿宋" w:hAnsi="Times New Roman" w:cs="Times New Roman" w:hint="eastAsia"/>
          <w:sz w:val="32"/>
          <w:szCs w:val="32"/>
        </w:rPr>
        <w:t>分布</w:t>
      </w:r>
      <w:r>
        <w:rPr>
          <w:rFonts w:ascii="Times New Roman" w:eastAsia="仿宋" w:hAnsi="Times New Roman" w:cs="Times New Roman"/>
          <w:sz w:val="32"/>
          <w:szCs w:val="32"/>
        </w:rPr>
        <w:t>、</w:t>
      </w:r>
      <w:r>
        <w:rPr>
          <w:rFonts w:ascii="Times New Roman" w:eastAsia="仿宋" w:hAnsi="Times New Roman" w:cs="Times New Roman" w:hint="eastAsia"/>
          <w:sz w:val="32"/>
          <w:szCs w:val="32"/>
        </w:rPr>
        <w:t>交通情况</w:t>
      </w:r>
      <w:r>
        <w:rPr>
          <w:rFonts w:ascii="Times New Roman" w:eastAsia="仿宋" w:hAnsi="Times New Roman" w:cs="Times New Roman"/>
          <w:sz w:val="32"/>
          <w:szCs w:val="32"/>
        </w:rPr>
        <w:t>、</w:t>
      </w:r>
      <w:r>
        <w:rPr>
          <w:rFonts w:ascii="Times New Roman" w:eastAsia="仿宋" w:hAnsi="Times New Roman" w:cs="Times New Roman" w:hint="eastAsia"/>
          <w:sz w:val="32"/>
          <w:szCs w:val="32"/>
        </w:rPr>
        <w:t>经济发展水平、消费能力和</w:t>
      </w:r>
      <w:r>
        <w:rPr>
          <w:rFonts w:ascii="Times New Roman" w:eastAsia="仿宋" w:hAnsi="Times New Roman" w:cs="Times New Roman"/>
          <w:sz w:val="32"/>
          <w:szCs w:val="32"/>
        </w:rPr>
        <w:t>卷烟销量以及相关发展趋势等因素为依据，将辖区内街道、乡镇划分为</w:t>
      </w:r>
      <w:r>
        <w:rPr>
          <w:rFonts w:ascii="Times New Roman" w:eastAsia="仿宋" w:hAnsi="Times New Roman" w:cs="Times New Roman"/>
          <w:sz w:val="32"/>
          <w:szCs w:val="32"/>
        </w:rPr>
        <w:t>最小市</w:t>
      </w:r>
      <w:r>
        <w:rPr>
          <w:rFonts w:ascii="Times New Roman" w:eastAsia="仿宋" w:hAnsi="Times New Roman" w:cs="Times New Roman"/>
          <w:sz w:val="32"/>
          <w:szCs w:val="32"/>
        </w:rPr>
        <w:t>场单元格，通过科学合理的评估，测算容量</w:t>
      </w:r>
      <w:r>
        <w:rPr>
          <w:rFonts w:ascii="Times New Roman" w:eastAsia="仿宋" w:hAnsi="Times New Roman" w:cs="Times New Roman" w:hint="eastAsia"/>
          <w:sz w:val="32"/>
          <w:szCs w:val="32"/>
        </w:rPr>
        <w:t>上限</w:t>
      </w:r>
      <w:r>
        <w:rPr>
          <w:rFonts w:ascii="Times New Roman" w:eastAsia="仿宋" w:hAnsi="Times New Roman" w:cs="Times New Roman"/>
          <w:sz w:val="32"/>
          <w:szCs w:val="32"/>
        </w:rPr>
        <w:t>，</w:t>
      </w:r>
      <w:r>
        <w:rPr>
          <w:rFonts w:ascii="Times New Roman" w:eastAsia="仿宋" w:hAnsi="Times New Roman" w:cs="Times New Roman"/>
          <w:sz w:val="32"/>
          <w:szCs w:val="32"/>
        </w:rPr>
        <w:t>作为最小市场单元格</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设置的指导数。</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第七条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指导数是指各市场单元格内可设置</w:t>
      </w:r>
      <w:r>
        <w:rPr>
          <w:rFonts w:ascii="Times New Roman" w:eastAsia="仿宋" w:hAnsi="Times New Roman" w:cs="Times New Roman" w:hint="eastAsia"/>
          <w:sz w:val="32"/>
          <w:szCs w:val="32"/>
        </w:rPr>
        <w:t>零售点“数量”</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上限</w:t>
      </w:r>
      <w:r>
        <w:rPr>
          <w:rFonts w:ascii="Times New Roman" w:eastAsia="仿宋" w:hAnsi="Times New Roman" w:cs="Times New Roman"/>
          <w:sz w:val="32"/>
          <w:szCs w:val="32"/>
        </w:rPr>
        <w:t>数，在最小市场单元格规划</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内设置</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，单元格</w:t>
      </w:r>
      <w:r>
        <w:rPr>
          <w:rFonts w:ascii="Times New Roman" w:eastAsia="仿宋" w:hAnsi="Times New Roman" w:cs="Times New Roman" w:hint="eastAsia"/>
          <w:sz w:val="32"/>
          <w:szCs w:val="32"/>
        </w:rPr>
        <w:t>零售点“数量”</w:t>
      </w:r>
      <w:r>
        <w:rPr>
          <w:rFonts w:ascii="Times New Roman" w:eastAsia="仿宋" w:hAnsi="Times New Roman" w:cs="Times New Roman"/>
          <w:sz w:val="32"/>
          <w:szCs w:val="32"/>
        </w:rPr>
        <w:t>达到或者超过指导数上限的，不予设置</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，按照</w:t>
      </w:r>
      <w:r>
        <w:rPr>
          <w:rFonts w:ascii="Times New Roman" w:eastAsia="仿宋" w:hAnsi="Times New Roman" w:cs="Times New Roman"/>
          <w:sz w:val="32"/>
          <w:szCs w:val="32"/>
        </w:rPr>
        <w:t>“</w:t>
      </w:r>
      <w:r>
        <w:rPr>
          <w:rFonts w:ascii="Times New Roman" w:eastAsia="仿宋" w:hAnsi="Times New Roman" w:cs="Times New Roman"/>
          <w:sz w:val="32"/>
          <w:szCs w:val="32"/>
        </w:rPr>
        <w:t>退一进一</w:t>
      </w:r>
      <w:r>
        <w:rPr>
          <w:rFonts w:ascii="Times New Roman" w:eastAsia="仿宋" w:hAnsi="Times New Roman" w:cs="Times New Roman"/>
          <w:sz w:val="32"/>
          <w:szCs w:val="32"/>
        </w:rPr>
        <w:t>”“</w:t>
      </w:r>
      <w:r>
        <w:rPr>
          <w:rFonts w:ascii="Times New Roman" w:eastAsia="仿宋" w:hAnsi="Times New Roman" w:cs="Times New Roman"/>
          <w:sz w:val="32"/>
          <w:szCs w:val="32"/>
        </w:rPr>
        <w:t>先退后进</w:t>
      </w:r>
      <w:r>
        <w:rPr>
          <w:rFonts w:ascii="Times New Roman" w:eastAsia="仿宋" w:hAnsi="Times New Roman" w:cs="Times New Roman"/>
          <w:sz w:val="32"/>
          <w:szCs w:val="32"/>
        </w:rPr>
        <w:t>”</w:t>
      </w:r>
      <w:r>
        <w:rPr>
          <w:rFonts w:ascii="Times New Roman" w:eastAsia="仿宋" w:hAnsi="Times New Roman" w:cs="Times New Roman"/>
          <w:sz w:val="32"/>
          <w:szCs w:val="32"/>
        </w:rPr>
        <w:t>原则依法办理。</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第八条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合理布局规划及附件应及时向社会公示。</w:t>
      </w:r>
    </w:p>
    <w:p w:rsidR="000065D8" w:rsidRDefault="000065D8">
      <w:pPr>
        <w:overflowPunct w:val="0"/>
        <w:rPr>
          <w:rFonts w:ascii="Times New Roman" w:eastAsia="黑体" w:hAnsi="Times New Roman" w:cs="Times New Roman"/>
          <w:sz w:val="32"/>
          <w:szCs w:val="32"/>
        </w:rPr>
      </w:pPr>
    </w:p>
    <w:p w:rsidR="000065D8" w:rsidRDefault="0008672C">
      <w:p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零售点</w:t>
      </w:r>
      <w:r>
        <w:rPr>
          <w:rFonts w:ascii="Times New Roman" w:eastAsia="黑体" w:hAnsi="Times New Roman" w:cs="Times New Roman"/>
          <w:sz w:val="32"/>
          <w:szCs w:val="32"/>
        </w:rPr>
        <w:t>总体布局规划</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第九条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综合考虑经济发展水平、人口</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、消费能力、历史</w:t>
      </w:r>
      <w:r>
        <w:rPr>
          <w:rFonts w:ascii="Times New Roman" w:eastAsia="仿宋" w:hAnsi="Times New Roman" w:cs="Times New Roman" w:hint="eastAsia"/>
          <w:sz w:val="32"/>
          <w:szCs w:val="32"/>
        </w:rPr>
        <w:t>零售点数量</w:t>
      </w:r>
      <w:r>
        <w:rPr>
          <w:rFonts w:ascii="Times New Roman" w:eastAsia="仿宋" w:hAnsi="Times New Roman" w:cs="Times New Roman"/>
          <w:sz w:val="32"/>
          <w:szCs w:val="32"/>
        </w:rPr>
        <w:t>等相关因素，以满足卷烟市场需求和</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平衡布局为主要目的，将辖区划分为若干最小市场单元格，分别采取</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w:t>
      </w:r>
      <w:r>
        <w:rPr>
          <w:rFonts w:ascii="Times New Roman" w:eastAsia="仿宋" w:hAnsi="Times New Roman" w:cs="Times New Roman" w:hint="eastAsia"/>
          <w:sz w:val="32"/>
          <w:szCs w:val="32"/>
        </w:rPr>
        <w:t>“距离”、“数量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和限制性条件</w:t>
      </w:r>
      <w:r>
        <w:rPr>
          <w:rFonts w:ascii="Times New Roman" w:eastAsia="仿宋" w:hAnsi="Times New Roman" w:cs="Times New Roman"/>
          <w:sz w:val="32"/>
          <w:szCs w:val="32"/>
        </w:rPr>
        <w:t>等布局规划</w:t>
      </w:r>
      <w:r>
        <w:rPr>
          <w:rFonts w:ascii="Times New Roman" w:eastAsia="仿宋" w:hAnsi="Times New Roman" w:cs="Times New Roman" w:hint="eastAsia"/>
          <w:sz w:val="32"/>
          <w:szCs w:val="32"/>
        </w:rPr>
        <w:t>控制模式</w:t>
      </w:r>
      <w:r>
        <w:rPr>
          <w:rFonts w:ascii="Times New Roman" w:eastAsia="仿宋" w:hAnsi="Times New Roman" w:cs="Times New Roman"/>
          <w:sz w:val="32"/>
          <w:szCs w:val="32"/>
        </w:rPr>
        <w:t>。最小市场单元格的</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容量通过采用统计学等方法，经科学合理的测算评估后进行设置。</w:t>
      </w:r>
    </w:p>
    <w:p w:rsidR="000065D8" w:rsidRDefault="0008672C">
      <w:pPr>
        <w:ind w:firstLineChars="200" w:firstLine="643"/>
        <w:rPr>
          <w:rFonts w:ascii="仿宋" w:eastAsia="仿宋" w:hAnsi="仿宋" w:cs="Times New Roman"/>
          <w:sz w:val="32"/>
          <w:szCs w:val="32"/>
        </w:rPr>
      </w:pPr>
      <w:r>
        <w:rPr>
          <w:rFonts w:ascii="仿宋" w:eastAsia="仿宋" w:hAnsi="仿宋" w:cs="Times New Roman" w:hint="eastAsia"/>
          <w:b/>
          <w:bCs/>
          <w:sz w:val="32"/>
          <w:szCs w:val="32"/>
        </w:rPr>
        <w:t>第十条</w:t>
      </w:r>
      <w:r>
        <w:rPr>
          <w:rFonts w:ascii="仿宋" w:eastAsia="仿宋" w:hAnsi="仿宋" w:cs="Times New Roman" w:hint="eastAsia"/>
          <w:sz w:val="32"/>
          <w:szCs w:val="32"/>
        </w:rPr>
        <w:t xml:space="preserve"> </w:t>
      </w:r>
      <w:r w:rsidR="007A3150">
        <w:rPr>
          <w:rFonts w:ascii="仿宋" w:eastAsia="仿宋" w:hAnsi="仿宋" w:cs="Times New Roman" w:hint="eastAsia"/>
          <w:sz w:val="32"/>
          <w:szCs w:val="32"/>
        </w:rPr>
        <w:t xml:space="preserve"> </w:t>
      </w:r>
      <w:r>
        <w:rPr>
          <w:rFonts w:ascii="仿宋" w:eastAsia="仿宋" w:hAnsi="仿宋" w:cs="Times New Roman" w:hint="eastAsia"/>
          <w:sz w:val="32"/>
          <w:szCs w:val="32"/>
        </w:rPr>
        <w:t>两个或两个以上烟草专卖零售许可证申请，因烟草制品零售点合理布局规划限制无法都准予许可的，应当对先受理的申请作出准予许可的决定。</w:t>
      </w:r>
    </w:p>
    <w:p w:rsidR="000065D8" w:rsidRDefault="0008672C">
      <w:pPr>
        <w:ind w:firstLineChars="200" w:firstLine="643"/>
        <w:rPr>
          <w:rFonts w:ascii="仿宋" w:eastAsia="仿宋" w:hAnsi="仿宋" w:cs="Times New Roman"/>
          <w:sz w:val="32"/>
          <w:szCs w:val="32"/>
        </w:rPr>
      </w:pPr>
      <w:r>
        <w:rPr>
          <w:rFonts w:ascii="仿宋" w:eastAsia="仿宋" w:hAnsi="仿宋" w:cs="Times New Roman" w:hint="eastAsia"/>
          <w:b/>
          <w:bCs/>
          <w:sz w:val="32"/>
          <w:szCs w:val="32"/>
        </w:rPr>
        <w:t>第十一条</w:t>
      </w:r>
      <w:r w:rsidR="007A3150">
        <w:rPr>
          <w:rFonts w:ascii="仿宋" w:eastAsia="仿宋" w:hAnsi="仿宋" w:cs="Times New Roman" w:hint="eastAsia"/>
          <w:b/>
          <w:bCs/>
          <w:sz w:val="32"/>
          <w:szCs w:val="32"/>
        </w:rPr>
        <w:t xml:space="preserve">  </w:t>
      </w:r>
      <w:r>
        <w:rPr>
          <w:rFonts w:ascii="仿宋" w:eastAsia="仿宋" w:hAnsi="仿宋" w:cs="Times New Roman" w:hint="eastAsia"/>
          <w:sz w:val="32"/>
          <w:szCs w:val="32"/>
        </w:rPr>
        <w:t>井研县</w:t>
      </w:r>
      <w:r>
        <w:rPr>
          <w:rFonts w:ascii="仿宋" w:eastAsia="仿宋" w:hAnsi="仿宋" w:cs="Times New Roman"/>
          <w:sz w:val="32"/>
          <w:szCs w:val="32"/>
        </w:rPr>
        <w:t>烟草专卖局可以根据上一年度烟草制品</w:t>
      </w:r>
      <w:r>
        <w:rPr>
          <w:rFonts w:ascii="仿宋" w:eastAsia="仿宋" w:hAnsi="仿宋" w:cs="Times New Roman" w:hint="eastAsia"/>
          <w:sz w:val="32"/>
          <w:szCs w:val="32"/>
        </w:rPr>
        <w:t>零售点</w:t>
      </w:r>
      <w:r>
        <w:rPr>
          <w:rFonts w:ascii="仿宋" w:eastAsia="仿宋" w:hAnsi="仿宋" w:cs="Times New Roman"/>
          <w:sz w:val="32"/>
          <w:szCs w:val="32"/>
        </w:rPr>
        <w:t>集中度、增长趋势、历史峰值、城市规划及政策调整等情况，每年对最小单元格内的</w:t>
      </w:r>
      <w:r>
        <w:rPr>
          <w:rFonts w:ascii="仿宋" w:eastAsia="仿宋" w:hAnsi="仿宋" w:cs="Times New Roman" w:hint="eastAsia"/>
          <w:sz w:val="32"/>
          <w:szCs w:val="32"/>
        </w:rPr>
        <w:t>零售点</w:t>
      </w:r>
      <w:r>
        <w:rPr>
          <w:rFonts w:ascii="仿宋" w:eastAsia="仿宋" w:hAnsi="仿宋" w:cs="Times New Roman"/>
          <w:sz w:val="32"/>
          <w:szCs w:val="32"/>
        </w:rPr>
        <w:t>指导</w:t>
      </w:r>
      <w:r>
        <w:rPr>
          <w:rFonts w:ascii="仿宋" w:eastAsia="仿宋" w:hAnsi="仿宋" w:cs="Times New Roman" w:hint="eastAsia"/>
          <w:sz w:val="32"/>
          <w:szCs w:val="32"/>
        </w:rPr>
        <w:t>数量</w:t>
      </w:r>
      <w:r>
        <w:rPr>
          <w:rFonts w:ascii="仿宋" w:eastAsia="仿宋" w:hAnsi="仿宋" w:cs="Times New Roman"/>
          <w:sz w:val="32"/>
          <w:szCs w:val="32"/>
        </w:rPr>
        <w:t>进行动态调整，调整应经科学测算</w:t>
      </w:r>
      <w:r>
        <w:rPr>
          <w:rFonts w:ascii="仿宋" w:eastAsia="仿宋" w:hAnsi="仿宋" w:cs="Times New Roman" w:hint="eastAsia"/>
          <w:sz w:val="32"/>
          <w:szCs w:val="32"/>
        </w:rPr>
        <w:t>,</w:t>
      </w:r>
      <w:r>
        <w:rPr>
          <w:rFonts w:ascii="仿宋" w:eastAsia="仿宋" w:hAnsi="仿宋" w:cs="Times New Roman"/>
          <w:sz w:val="32"/>
          <w:szCs w:val="32"/>
        </w:rPr>
        <w:t>合理论证，广泛征求意见，单次调整幅度不超过</w:t>
      </w:r>
      <w:r>
        <w:rPr>
          <w:rFonts w:ascii="仿宋" w:eastAsia="仿宋" w:hAnsi="仿宋" w:cs="Times New Roman"/>
          <w:sz w:val="32"/>
          <w:szCs w:val="32"/>
        </w:rPr>
        <w:t>5%</w:t>
      </w:r>
      <w:r>
        <w:rPr>
          <w:rFonts w:ascii="仿宋" w:eastAsia="仿宋" w:hAnsi="仿宋" w:cs="Times New Roman"/>
          <w:sz w:val="32"/>
          <w:szCs w:val="32"/>
        </w:rPr>
        <w:t>，经</w:t>
      </w:r>
      <w:r>
        <w:rPr>
          <w:rFonts w:ascii="仿宋" w:eastAsia="仿宋" w:hAnsi="仿宋" w:cs="Times New Roman" w:hint="eastAsia"/>
          <w:sz w:val="32"/>
          <w:szCs w:val="32"/>
        </w:rPr>
        <w:t>井研县人民政府官网</w:t>
      </w:r>
      <w:r>
        <w:rPr>
          <w:rFonts w:ascii="仿宋" w:eastAsia="仿宋" w:hAnsi="仿宋" w:cs="Times New Roman"/>
          <w:sz w:val="32"/>
          <w:szCs w:val="32"/>
        </w:rPr>
        <w:t>公告</w:t>
      </w:r>
      <w:r>
        <w:rPr>
          <w:rFonts w:ascii="仿宋" w:eastAsia="仿宋" w:hAnsi="仿宋" w:cs="Times New Roman"/>
          <w:sz w:val="32"/>
          <w:szCs w:val="32"/>
        </w:rPr>
        <w:t>30</w:t>
      </w:r>
      <w:r>
        <w:rPr>
          <w:rFonts w:ascii="仿宋" w:eastAsia="仿宋" w:hAnsi="仿宋" w:cs="Times New Roman"/>
          <w:sz w:val="32"/>
          <w:szCs w:val="32"/>
        </w:rPr>
        <w:t>日后可以实施。</w:t>
      </w:r>
    </w:p>
    <w:p w:rsidR="000065D8" w:rsidRDefault="000065D8">
      <w:pPr>
        <w:overflowPunct w:val="0"/>
        <w:rPr>
          <w:rFonts w:ascii="Times New Roman" w:eastAsia="黑体" w:hAnsi="Times New Roman" w:cs="Times New Roman"/>
          <w:sz w:val="32"/>
          <w:szCs w:val="32"/>
        </w:rPr>
      </w:pPr>
    </w:p>
    <w:p w:rsidR="000065D8" w:rsidRDefault="0008672C">
      <w:pPr>
        <w:numPr>
          <w:ilvl w:val="0"/>
          <w:numId w:val="1"/>
        </w:num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sz w:val="32"/>
          <w:szCs w:val="32"/>
        </w:rPr>
        <w:t>城区</w:t>
      </w:r>
      <w:r>
        <w:rPr>
          <w:rFonts w:ascii="Times New Roman" w:eastAsia="黑体" w:hAnsi="Times New Roman" w:cs="Times New Roman" w:hint="eastAsia"/>
          <w:sz w:val="32"/>
          <w:szCs w:val="32"/>
        </w:rPr>
        <w:t>零售点</w:t>
      </w:r>
      <w:r>
        <w:rPr>
          <w:rFonts w:ascii="Times New Roman" w:eastAsia="黑体" w:hAnsi="Times New Roman" w:cs="Times New Roman"/>
          <w:sz w:val="32"/>
          <w:szCs w:val="32"/>
        </w:rPr>
        <w:t>布局规划</w:t>
      </w:r>
    </w:p>
    <w:p w:rsidR="000065D8" w:rsidRDefault="000065D8">
      <w:pPr>
        <w:overflowPunct w:val="0"/>
        <w:rPr>
          <w:rFonts w:ascii="Times New Roman" w:eastAsia="黑体" w:hAnsi="Times New Roman" w:cs="Times New Roman"/>
          <w:sz w:val="32"/>
          <w:szCs w:val="32"/>
        </w:rPr>
      </w:pPr>
    </w:p>
    <w:p w:rsidR="000065D8" w:rsidRDefault="0008672C">
      <w:pPr>
        <w:ind w:firstLineChars="200" w:firstLine="643"/>
        <w:rPr>
          <w:rFonts w:ascii="仿宋" w:eastAsia="仿宋" w:hAnsi="仿宋" w:cs="Times New Roman"/>
          <w:sz w:val="32"/>
          <w:szCs w:val="32"/>
        </w:rPr>
      </w:pPr>
      <w:r>
        <w:rPr>
          <w:rFonts w:ascii="Times New Roman" w:eastAsia="仿宋" w:hAnsi="Times New Roman" w:cs="Times New Roman" w:hint="eastAsia"/>
          <w:b/>
          <w:sz w:val="32"/>
          <w:szCs w:val="32"/>
        </w:rPr>
        <w:t>第十</w:t>
      </w:r>
      <w:r>
        <w:rPr>
          <w:rFonts w:ascii="Times New Roman" w:eastAsia="仿宋" w:hAnsi="Times New Roman" w:cs="Times New Roman" w:hint="eastAsia"/>
          <w:b/>
          <w:sz w:val="32"/>
          <w:szCs w:val="32"/>
        </w:rPr>
        <w:t>二</w:t>
      </w:r>
      <w:r>
        <w:rPr>
          <w:rFonts w:ascii="Times New Roman" w:eastAsia="仿宋" w:hAnsi="Times New Roman" w:cs="Times New Roman" w:hint="eastAsia"/>
          <w:b/>
          <w:sz w:val="32"/>
          <w:szCs w:val="32"/>
        </w:rPr>
        <w:t>条</w:t>
      </w:r>
      <w:r w:rsidR="007A3150">
        <w:rPr>
          <w:rFonts w:ascii="Times New Roman" w:eastAsia="仿宋" w:hAnsi="Times New Roman" w:cs="Times New Roman" w:hint="eastAsia"/>
          <w:b/>
          <w:sz w:val="32"/>
          <w:szCs w:val="32"/>
        </w:rPr>
        <w:t xml:space="preserve">  </w:t>
      </w:r>
      <w:r>
        <w:rPr>
          <w:rFonts w:ascii="仿宋" w:eastAsia="仿宋" w:hAnsi="仿宋" w:cs="Times New Roman" w:hint="eastAsia"/>
          <w:sz w:val="32"/>
          <w:szCs w:val="32"/>
        </w:rPr>
        <w:t>井研城区划分为</w:t>
      </w:r>
      <w:r>
        <w:rPr>
          <w:rFonts w:ascii="仿宋" w:eastAsia="仿宋" w:hAnsi="仿宋" w:cs="Times New Roman" w:hint="eastAsia"/>
          <w:sz w:val="32"/>
          <w:szCs w:val="32"/>
        </w:rPr>
        <w:t>7</w:t>
      </w:r>
      <w:r>
        <w:rPr>
          <w:rFonts w:ascii="仿宋" w:eastAsia="仿宋" w:hAnsi="仿宋" w:cs="Times New Roman" w:hint="eastAsia"/>
          <w:sz w:val="32"/>
          <w:szCs w:val="32"/>
        </w:rPr>
        <w:t>个社区</w:t>
      </w:r>
      <w:r>
        <w:rPr>
          <w:rFonts w:ascii="仿宋" w:eastAsia="仿宋" w:hAnsi="仿宋" w:cs="Times New Roman" w:hint="eastAsia"/>
          <w:sz w:val="32"/>
          <w:szCs w:val="32"/>
        </w:rPr>
        <w:t>55</w:t>
      </w:r>
      <w:r>
        <w:rPr>
          <w:rFonts w:ascii="仿宋" w:eastAsia="仿宋" w:hAnsi="仿宋" w:cs="Times New Roman" w:hint="eastAsia"/>
          <w:sz w:val="32"/>
          <w:szCs w:val="32"/>
        </w:rPr>
        <w:t>个单元格。其</w:t>
      </w:r>
      <w:r>
        <w:rPr>
          <w:rFonts w:ascii="仿宋" w:eastAsia="仿宋" w:hAnsi="仿宋" w:cs="Times New Roman" w:hint="eastAsia"/>
          <w:sz w:val="32"/>
          <w:szCs w:val="32"/>
        </w:rPr>
        <w:lastRenderedPageBreak/>
        <w:t>中，</w:t>
      </w:r>
      <w:r>
        <w:rPr>
          <w:rFonts w:ascii="仿宋" w:eastAsia="仿宋" w:hAnsi="仿宋" w:cs="Times New Roman" w:hint="eastAsia"/>
          <w:sz w:val="32"/>
          <w:szCs w:val="32"/>
        </w:rPr>
        <w:t>翰林大道（公园</w:t>
      </w:r>
      <w:r>
        <w:rPr>
          <w:rFonts w:ascii="仿宋" w:eastAsia="仿宋" w:hAnsi="仿宋" w:cs="Times New Roman" w:hint="eastAsia"/>
          <w:sz w:val="32"/>
          <w:szCs w:val="32"/>
        </w:rPr>
        <w:t>1</w:t>
      </w:r>
      <w:r>
        <w:rPr>
          <w:rFonts w:ascii="仿宋" w:eastAsia="仿宋" w:hAnsi="仿宋" w:cs="Times New Roman" w:hint="eastAsia"/>
          <w:sz w:val="32"/>
          <w:szCs w:val="32"/>
        </w:rPr>
        <w:t>号—</w:t>
      </w:r>
      <w:r>
        <w:rPr>
          <w:rFonts w:ascii="仿宋" w:eastAsia="仿宋" w:hAnsi="仿宋" w:cs="Times New Roman" w:hint="eastAsia"/>
          <w:sz w:val="32"/>
          <w:szCs w:val="32"/>
        </w:rPr>
        <w:t>99</w:t>
      </w:r>
      <w:r>
        <w:rPr>
          <w:rFonts w:ascii="仿宋" w:eastAsia="仿宋" w:hAnsi="仿宋" w:cs="Times New Roman" w:hint="eastAsia"/>
          <w:sz w:val="32"/>
          <w:szCs w:val="32"/>
        </w:rPr>
        <w:t>号）、幸福大道东侧支路（云上时光）、幸福大道西侧支路（研溪华府）、幸福大道（阳光玉玺、公园墅）、兴盛路（工业园区）</w:t>
      </w:r>
      <w:r>
        <w:rPr>
          <w:rFonts w:ascii="仿宋" w:eastAsia="仿宋" w:hAnsi="仿宋" w:cs="Times New Roman" w:hint="eastAsia"/>
          <w:sz w:val="32"/>
          <w:szCs w:val="32"/>
        </w:rPr>
        <w:t>5</w:t>
      </w:r>
      <w:r>
        <w:rPr>
          <w:rFonts w:ascii="仿宋" w:eastAsia="仿宋" w:hAnsi="仿宋" w:cs="Times New Roman" w:hint="eastAsia"/>
          <w:sz w:val="32"/>
          <w:szCs w:val="32"/>
        </w:rPr>
        <w:t>个单元格烟草制品零售点</w:t>
      </w:r>
      <w:r>
        <w:rPr>
          <w:rFonts w:ascii="仿宋" w:eastAsia="仿宋" w:hAnsi="仿宋" w:cs="Times New Roman" w:hint="eastAsia"/>
          <w:sz w:val="32"/>
          <w:szCs w:val="32"/>
        </w:rPr>
        <w:t>采取“数量”控制模式，不受“距离”限制。城南街、和谐街、锦添路、幸福大道、学府路、迎宾大道</w:t>
      </w:r>
      <w:r>
        <w:rPr>
          <w:rFonts w:ascii="仿宋" w:eastAsia="仿宋" w:hAnsi="仿宋" w:cs="Times New Roman" w:hint="eastAsia"/>
          <w:sz w:val="32"/>
          <w:szCs w:val="32"/>
        </w:rPr>
        <w:t>6</w:t>
      </w:r>
      <w:r>
        <w:rPr>
          <w:rFonts w:ascii="仿宋" w:eastAsia="仿宋" w:hAnsi="仿宋" w:cs="Times New Roman" w:hint="eastAsia"/>
          <w:sz w:val="32"/>
          <w:szCs w:val="32"/>
        </w:rPr>
        <w:t>个单元格烟草制品零售点采取“距离”控制模式，不受“数量”限制，相邻</w:t>
      </w:r>
      <w:r>
        <w:rPr>
          <w:rFonts w:ascii="仿宋" w:eastAsia="仿宋" w:hAnsi="仿宋" w:cs="Times New Roman" w:hint="eastAsia"/>
          <w:sz w:val="32"/>
          <w:szCs w:val="32"/>
        </w:rPr>
        <w:t>零售点</w:t>
      </w:r>
      <w:r>
        <w:rPr>
          <w:rFonts w:ascii="仿宋" w:eastAsia="仿宋" w:hAnsi="仿宋" w:cs="Times New Roman" w:hint="eastAsia"/>
          <w:sz w:val="32"/>
          <w:szCs w:val="32"/>
        </w:rPr>
        <w:t>之间间距不低于</w:t>
      </w:r>
      <w:r>
        <w:rPr>
          <w:rFonts w:ascii="仿宋" w:eastAsia="仿宋" w:hAnsi="仿宋" w:cs="Times New Roman" w:hint="eastAsia"/>
          <w:sz w:val="32"/>
          <w:szCs w:val="32"/>
        </w:rPr>
        <w:t>20</w:t>
      </w:r>
      <w:r>
        <w:rPr>
          <w:rFonts w:ascii="仿宋" w:eastAsia="仿宋" w:hAnsi="仿宋" w:cs="Times New Roman" w:hint="eastAsia"/>
          <w:sz w:val="32"/>
          <w:szCs w:val="32"/>
        </w:rPr>
        <w:t>米</w:t>
      </w:r>
      <w:r>
        <w:rPr>
          <w:rFonts w:ascii="仿宋" w:eastAsia="仿宋" w:hAnsi="仿宋" w:cs="Times New Roman" w:hint="eastAsia"/>
          <w:sz w:val="32"/>
          <w:szCs w:val="32"/>
        </w:rPr>
        <w:t>。建设路、白塔街等</w:t>
      </w:r>
      <w:r>
        <w:rPr>
          <w:rFonts w:ascii="仿宋" w:eastAsia="仿宋" w:hAnsi="仿宋" w:cs="Times New Roman" w:hint="eastAsia"/>
          <w:sz w:val="32"/>
          <w:szCs w:val="32"/>
        </w:rPr>
        <w:t>34</w:t>
      </w:r>
      <w:r>
        <w:rPr>
          <w:rFonts w:ascii="仿宋" w:eastAsia="仿宋" w:hAnsi="仿宋" w:cs="Times New Roman" w:hint="eastAsia"/>
          <w:sz w:val="32"/>
          <w:szCs w:val="32"/>
        </w:rPr>
        <w:t>个单元格烟草制品零售点采取</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w:t>
      </w:r>
      <w:r>
        <w:rPr>
          <w:rFonts w:ascii="仿宋" w:eastAsia="仿宋" w:hAnsi="仿宋" w:cs="Times New Roman" w:hint="eastAsia"/>
          <w:sz w:val="32"/>
          <w:szCs w:val="32"/>
        </w:rPr>
        <w:t>控制模式，相邻</w:t>
      </w:r>
      <w:r>
        <w:rPr>
          <w:rFonts w:ascii="仿宋" w:eastAsia="仿宋" w:hAnsi="仿宋" w:cs="Times New Roman" w:hint="eastAsia"/>
          <w:sz w:val="32"/>
          <w:szCs w:val="32"/>
        </w:rPr>
        <w:t>零售点</w:t>
      </w:r>
      <w:r>
        <w:rPr>
          <w:rFonts w:ascii="仿宋" w:eastAsia="仿宋" w:hAnsi="仿宋" w:cs="Times New Roman" w:hint="eastAsia"/>
          <w:sz w:val="32"/>
          <w:szCs w:val="32"/>
        </w:rPr>
        <w:t>之间间距不低于</w:t>
      </w:r>
      <w:r>
        <w:rPr>
          <w:rFonts w:ascii="仿宋" w:eastAsia="仿宋" w:hAnsi="仿宋" w:cs="Times New Roman" w:hint="eastAsia"/>
          <w:sz w:val="32"/>
          <w:szCs w:val="32"/>
        </w:rPr>
        <w:t>30</w:t>
      </w:r>
      <w:r>
        <w:rPr>
          <w:rFonts w:ascii="仿宋" w:eastAsia="仿宋" w:hAnsi="仿宋" w:cs="Times New Roman" w:hint="eastAsia"/>
          <w:sz w:val="32"/>
          <w:szCs w:val="32"/>
        </w:rPr>
        <w:t>米</w:t>
      </w:r>
      <w:r>
        <w:rPr>
          <w:rFonts w:ascii="仿宋" w:eastAsia="仿宋" w:hAnsi="仿宋" w:cs="Times New Roman" w:hint="eastAsia"/>
          <w:sz w:val="32"/>
          <w:szCs w:val="32"/>
        </w:rPr>
        <w:t>。幸福来、飞跃等</w:t>
      </w:r>
      <w:r>
        <w:rPr>
          <w:rFonts w:ascii="仿宋" w:eastAsia="仿宋" w:hAnsi="仿宋" w:cs="Times New Roman" w:hint="eastAsia"/>
          <w:sz w:val="32"/>
          <w:szCs w:val="32"/>
        </w:rPr>
        <w:t>10</w:t>
      </w:r>
      <w:r>
        <w:rPr>
          <w:rFonts w:ascii="仿宋" w:eastAsia="仿宋" w:hAnsi="仿宋" w:cs="Times New Roman" w:hint="eastAsia"/>
          <w:sz w:val="32"/>
          <w:szCs w:val="32"/>
        </w:rPr>
        <w:t>个行政村单元格烟草制品零售点采取</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w:t>
      </w:r>
      <w:r>
        <w:rPr>
          <w:rFonts w:ascii="仿宋" w:eastAsia="仿宋" w:hAnsi="仿宋" w:cs="Times New Roman" w:hint="eastAsia"/>
          <w:sz w:val="32"/>
          <w:szCs w:val="32"/>
        </w:rPr>
        <w:t>控制模式，相邻零售点</w:t>
      </w:r>
      <w:r>
        <w:rPr>
          <w:rFonts w:ascii="仿宋" w:eastAsia="仿宋" w:hAnsi="仿宋" w:cs="Times New Roman" w:hint="eastAsia"/>
          <w:sz w:val="32"/>
          <w:szCs w:val="32"/>
        </w:rPr>
        <w:t>之间间距不低于</w:t>
      </w:r>
      <w:r>
        <w:rPr>
          <w:rFonts w:ascii="仿宋" w:eastAsia="仿宋" w:hAnsi="仿宋" w:cs="Times New Roman" w:hint="eastAsia"/>
          <w:sz w:val="32"/>
          <w:szCs w:val="32"/>
        </w:rPr>
        <w:t>100</w:t>
      </w:r>
      <w:r>
        <w:rPr>
          <w:rFonts w:ascii="仿宋" w:eastAsia="仿宋" w:hAnsi="仿宋" w:cs="Times New Roman" w:hint="eastAsia"/>
          <w:sz w:val="32"/>
          <w:szCs w:val="32"/>
        </w:rPr>
        <w:t>米</w:t>
      </w:r>
      <w:r>
        <w:rPr>
          <w:rFonts w:ascii="仿宋" w:eastAsia="仿宋" w:hAnsi="仿宋" w:cs="Times New Roman" w:hint="eastAsia"/>
          <w:sz w:val="32"/>
          <w:szCs w:val="32"/>
        </w:rPr>
        <w:t>,</w:t>
      </w:r>
      <w:r>
        <w:rPr>
          <w:rFonts w:ascii="仿宋" w:eastAsia="仿宋" w:hAnsi="仿宋" w:cs="Times New Roman" w:hint="eastAsia"/>
          <w:sz w:val="32"/>
          <w:szCs w:val="32"/>
        </w:rPr>
        <w:t>对尚无烟草制品零售点的空白行政村设置</w:t>
      </w:r>
      <w:r>
        <w:rPr>
          <w:rFonts w:ascii="仿宋" w:eastAsia="仿宋" w:hAnsi="仿宋" w:cs="Times New Roman" w:hint="eastAsia"/>
          <w:sz w:val="32"/>
          <w:szCs w:val="32"/>
        </w:rPr>
        <w:t>1</w:t>
      </w:r>
      <w:r>
        <w:rPr>
          <w:rFonts w:ascii="仿宋" w:eastAsia="仿宋" w:hAnsi="仿宋" w:cs="Times New Roman" w:hint="eastAsia"/>
          <w:sz w:val="32"/>
          <w:szCs w:val="32"/>
        </w:rPr>
        <w:t>个烟草制品零售点</w:t>
      </w:r>
      <w:r>
        <w:rPr>
          <w:rFonts w:ascii="仿宋" w:eastAsia="仿宋" w:hAnsi="仿宋" w:cs="Times New Roman" w:hint="eastAsia"/>
          <w:sz w:val="32"/>
          <w:szCs w:val="32"/>
        </w:rPr>
        <w:t>。规划名额指导总数</w:t>
      </w:r>
      <w:r>
        <w:rPr>
          <w:rFonts w:ascii="仿宋" w:eastAsia="仿宋" w:hAnsi="仿宋" w:cs="Times New Roman" w:hint="eastAsia"/>
          <w:sz w:val="32"/>
          <w:szCs w:val="32"/>
        </w:rPr>
        <w:t>398</w:t>
      </w:r>
      <w:r>
        <w:rPr>
          <w:rFonts w:ascii="仿宋" w:eastAsia="仿宋" w:hAnsi="仿宋" w:cs="Times New Roman" w:hint="eastAsia"/>
          <w:sz w:val="32"/>
          <w:szCs w:val="32"/>
        </w:rPr>
        <w:t>个，详见附件</w:t>
      </w:r>
      <w:r>
        <w:rPr>
          <w:rFonts w:ascii="仿宋" w:eastAsia="仿宋" w:hAnsi="仿宋" w:cs="Times New Roman" w:hint="eastAsia"/>
          <w:sz w:val="32"/>
          <w:szCs w:val="32"/>
        </w:rPr>
        <w:t>2</w:t>
      </w:r>
      <w:r>
        <w:rPr>
          <w:rFonts w:ascii="仿宋" w:eastAsia="仿宋" w:hAnsi="仿宋" w:cs="Times New Roman" w:hint="eastAsia"/>
          <w:sz w:val="32"/>
          <w:szCs w:val="32"/>
        </w:rPr>
        <w:t>《井研县烟草制品零售点合理布局规划表》。</w:t>
      </w:r>
    </w:p>
    <w:p w:rsidR="000065D8" w:rsidRDefault="000065D8">
      <w:pPr>
        <w:overflowPunct w:val="0"/>
        <w:rPr>
          <w:rFonts w:ascii="Times New Roman" w:eastAsia="黑体" w:hAnsi="Times New Roman" w:cs="Times New Roman"/>
          <w:sz w:val="32"/>
          <w:szCs w:val="32"/>
        </w:rPr>
      </w:pPr>
    </w:p>
    <w:p w:rsidR="000065D8" w:rsidRDefault="0008672C">
      <w:pPr>
        <w:numPr>
          <w:ilvl w:val="0"/>
          <w:numId w:val="1"/>
        </w:num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sz w:val="32"/>
          <w:szCs w:val="32"/>
        </w:rPr>
        <w:t>农村</w:t>
      </w:r>
      <w:r>
        <w:rPr>
          <w:rFonts w:ascii="Times New Roman" w:eastAsia="黑体" w:hAnsi="Times New Roman" w:cs="Times New Roman" w:hint="eastAsia"/>
          <w:sz w:val="32"/>
          <w:szCs w:val="32"/>
        </w:rPr>
        <w:t>零售点</w:t>
      </w:r>
      <w:r>
        <w:rPr>
          <w:rFonts w:ascii="Times New Roman" w:eastAsia="黑体" w:hAnsi="Times New Roman" w:cs="Times New Roman"/>
          <w:sz w:val="32"/>
          <w:szCs w:val="32"/>
        </w:rPr>
        <w:t>布局规划</w:t>
      </w:r>
    </w:p>
    <w:p w:rsidR="000065D8" w:rsidRDefault="000065D8">
      <w:pPr>
        <w:overflowPunct w:val="0"/>
        <w:rPr>
          <w:rFonts w:ascii="Times New Roman" w:eastAsia="黑体" w:hAnsi="Times New Roman" w:cs="Times New Roman"/>
          <w:sz w:val="32"/>
          <w:szCs w:val="32"/>
        </w:rPr>
      </w:pPr>
    </w:p>
    <w:p w:rsidR="000065D8" w:rsidRDefault="0008672C">
      <w:pPr>
        <w:ind w:firstLineChars="200" w:firstLine="643"/>
        <w:rPr>
          <w:rFonts w:ascii="仿宋" w:eastAsia="仿宋" w:hAnsi="仿宋" w:cs="Times New Roman"/>
          <w:sz w:val="32"/>
          <w:szCs w:val="32"/>
        </w:rPr>
      </w:pPr>
      <w:r>
        <w:rPr>
          <w:rFonts w:ascii="Times New Roman" w:eastAsia="仿宋" w:hAnsi="Times New Roman" w:cs="Times New Roman"/>
          <w:b/>
          <w:bCs/>
          <w:sz w:val="32"/>
          <w:szCs w:val="32"/>
        </w:rPr>
        <w:t>第十</w:t>
      </w:r>
      <w:r>
        <w:rPr>
          <w:rFonts w:ascii="Times New Roman" w:eastAsia="仿宋" w:hAnsi="Times New Roman" w:cs="Times New Roman" w:hint="eastAsia"/>
          <w:b/>
          <w:bCs/>
          <w:sz w:val="32"/>
          <w:szCs w:val="32"/>
        </w:rPr>
        <w:t>三</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仿宋" w:eastAsia="仿宋" w:hAnsi="仿宋" w:cs="Times New Roman" w:hint="eastAsia"/>
          <w:sz w:val="32"/>
          <w:szCs w:val="32"/>
        </w:rPr>
        <w:t>井研农村市场划分为</w:t>
      </w:r>
      <w:r>
        <w:rPr>
          <w:rFonts w:ascii="仿宋" w:eastAsia="仿宋" w:hAnsi="仿宋" w:cs="Times New Roman" w:hint="eastAsia"/>
          <w:sz w:val="32"/>
          <w:szCs w:val="32"/>
        </w:rPr>
        <w:t>14</w:t>
      </w:r>
      <w:r>
        <w:rPr>
          <w:rFonts w:ascii="仿宋" w:eastAsia="仿宋" w:hAnsi="仿宋" w:cs="Times New Roman" w:hint="eastAsia"/>
          <w:sz w:val="32"/>
          <w:szCs w:val="32"/>
        </w:rPr>
        <w:t>个镇</w:t>
      </w:r>
      <w:r>
        <w:rPr>
          <w:rFonts w:ascii="仿宋" w:eastAsia="仿宋" w:hAnsi="仿宋" w:cs="Times New Roman" w:hint="eastAsia"/>
          <w:sz w:val="32"/>
          <w:szCs w:val="32"/>
        </w:rPr>
        <w:t>104</w:t>
      </w:r>
      <w:r>
        <w:rPr>
          <w:rFonts w:ascii="仿宋" w:eastAsia="仿宋" w:hAnsi="仿宋" w:cs="Times New Roman" w:hint="eastAsia"/>
          <w:sz w:val="32"/>
          <w:szCs w:val="32"/>
        </w:rPr>
        <w:t>个单元格。其中，</w:t>
      </w:r>
      <w:r>
        <w:rPr>
          <w:rFonts w:ascii="Times New Roman" w:eastAsia="仿宋" w:hAnsi="Times New Roman" w:cs="Times New Roman" w:hint="eastAsia"/>
          <w:sz w:val="32"/>
          <w:szCs w:val="32"/>
        </w:rPr>
        <w:t>马踏镇、竹园镇、周坡镇、东林镇</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个</w:t>
      </w:r>
      <w:r>
        <w:rPr>
          <w:rFonts w:ascii="Times New Roman" w:eastAsia="仿宋" w:hAnsi="Times New Roman" w:cs="Times New Roman"/>
          <w:sz w:val="32"/>
          <w:szCs w:val="32"/>
        </w:rPr>
        <w:t>镇</w:t>
      </w:r>
      <w:r>
        <w:rPr>
          <w:rFonts w:ascii="Times New Roman" w:eastAsia="仿宋" w:hAnsi="Times New Roman" w:cs="Times New Roman" w:hint="eastAsia"/>
          <w:sz w:val="32"/>
          <w:szCs w:val="32"/>
        </w:rPr>
        <w:t>所在地的所有街道</w:t>
      </w:r>
      <w:r>
        <w:rPr>
          <w:rFonts w:ascii="Times New Roman" w:eastAsia="仿宋" w:hAnsi="Times New Roman" w:cs="Times New Roman" w:hint="eastAsia"/>
          <w:sz w:val="32"/>
          <w:szCs w:val="32"/>
        </w:rPr>
        <w:t>及大佛社区和乌抛村</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采取</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仿宋" w:eastAsia="仿宋" w:hAnsi="仿宋" w:cs="Times New Roman" w:hint="eastAsia"/>
          <w:sz w:val="32"/>
          <w:szCs w:val="32"/>
        </w:rPr>
        <w:t>相邻零售点</w:t>
      </w:r>
      <w:r>
        <w:rPr>
          <w:rFonts w:ascii="仿宋" w:eastAsia="仿宋" w:hAnsi="仿宋" w:cs="Times New Roman" w:hint="eastAsia"/>
          <w:sz w:val="32"/>
          <w:szCs w:val="32"/>
        </w:rPr>
        <w:t>之间间距不低于</w:t>
      </w:r>
      <w:r>
        <w:rPr>
          <w:rFonts w:ascii="仿宋" w:eastAsia="仿宋" w:hAnsi="仿宋" w:cs="Times New Roman" w:hint="eastAsia"/>
          <w:sz w:val="32"/>
          <w:szCs w:val="32"/>
        </w:rPr>
        <w:t>15</w:t>
      </w:r>
      <w:r>
        <w:rPr>
          <w:rFonts w:ascii="仿宋" w:eastAsia="仿宋" w:hAnsi="仿宋" w:cs="Times New Roman" w:hint="eastAsia"/>
          <w:sz w:val="32"/>
          <w:szCs w:val="32"/>
        </w:rPr>
        <w:t>米</w:t>
      </w:r>
      <w:r>
        <w:rPr>
          <w:rFonts w:ascii="仿宋" w:eastAsia="仿宋" w:hAnsi="仿宋" w:cs="Times New Roman" w:hint="eastAsia"/>
          <w:sz w:val="32"/>
          <w:szCs w:val="32"/>
        </w:rPr>
        <w:t>。</w:t>
      </w:r>
      <w:r>
        <w:rPr>
          <w:rFonts w:ascii="仿宋" w:eastAsia="仿宋" w:hAnsi="仿宋" w:cs="Times New Roman" w:hint="eastAsia"/>
          <w:sz w:val="32"/>
          <w:szCs w:val="32"/>
        </w:rPr>
        <w:t>千佛镇</w:t>
      </w:r>
      <w:r>
        <w:rPr>
          <w:rFonts w:ascii="仿宋" w:eastAsia="仿宋" w:hAnsi="仿宋" w:cs="Times New Roman" w:hint="eastAsia"/>
          <w:sz w:val="32"/>
          <w:szCs w:val="32"/>
        </w:rPr>
        <w:t>、</w:t>
      </w:r>
      <w:r>
        <w:rPr>
          <w:rFonts w:ascii="仿宋" w:eastAsia="仿宋" w:hAnsi="仿宋" w:cs="Times New Roman" w:hint="eastAsia"/>
          <w:sz w:val="32"/>
          <w:szCs w:val="32"/>
        </w:rPr>
        <w:t>王村镇</w:t>
      </w:r>
      <w:r>
        <w:rPr>
          <w:rFonts w:ascii="仿宋" w:eastAsia="仿宋" w:hAnsi="仿宋" w:cs="Times New Roman" w:hint="eastAsia"/>
          <w:sz w:val="32"/>
          <w:szCs w:val="32"/>
        </w:rPr>
        <w:t>、</w:t>
      </w:r>
      <w:r>
        <w:rPr>
          <w:rFonts w:ascii="仿宋" w:eastAsia="仿宋" w:hAnsi="仿宋" w:cs="Times New Roman" w:hint="eastAsia"/>
          <w:sz w:val="32"/>
          <w:szCs w:val="32"/>
        </w:rPr>
        <w:t>三江镇</w:t>
      </w:r>
      <w:r>
        <w:rPr>
          <w:rFonts w:ascii="仿宋" w:eastAsia="仿宋" w:hAnsi="仿宋" w:cs="Times New Roman" w:hint="eastAsia"/>
          <w:sz w:val="32"/>
          <w:szCs w:val="32"/>
        </w:rPr>
        <w:t>、</w:t>
      </w:r>
      <w:r>
        <w:rPr>
          <w:rFonts w:ascii="仿宋" w:eastAsia="仿宋" w:hAnsi="仿宋" w:cs="Times New Roman" w:hint="eastAsia"/>
          <w:sz w:val="32"/>
          <w:szCs w:val="32"/>
        </w:rPr>
        <w:t>研经镇</w:t>
      </w:r>
      <w:r>
        <w:rPr>
          <w:rFonts w:ascii="仿宋" w:eastAsia="仿宋" w:hAnsi="仿宋" w:cs="Times New Roman" w:hint="eastAsia"/>
          <w:sz w:val="32"/>
          <w:szCs w:val="32"/>
        </w:rPr>
        <w:t>、</w:t>
      </w:r>
      <w:r>
        <w:rPr>
          <w:rFonts w:ascii="仿宋" w:eastAsia="仿宋" w:hAnsi="仿宋" w:cs="Times New Roman" w:hint="eastAsia"/>
          <w:sz w:val="32"/>
          <w:szCs w:val="32"/>
        </w:rPr>
        <w:t>集益镇</w:t>
      </w:r>
      <w:r>
        <w:rPr>
          <w:rFonts w:ascii="仿宋" w:eastAsia="仿宋" w:hAnsi="仿宋" w:cs="Times New Roman" w:hint="eastAsia"/>
          <w:sz w:val="32"/>
          <w:szCs w:val="32"/>
        </w:rPr>
        <w:t>、</w:t>
      </w:r>
      <w:r>
        <w:rPr>
          <w:rFonts w:ascii="仿宋" w:eastAsia="仿宋" w:hAnsi="仿宋" w:cs="Times New Roman" w:hint="eastAsia"/>
          <w:sz w:val="32"/>
          <w:szCs w:val="32"/>
        </w:rPr>
        <w:t>纯复镇</w:t>
      </w:r>
      <w:r>
        <w:rPr>
          <w:rFonts w:ascii="仿宋" w:eastAsia="仿宋" w:hAnsi="仿宋" w:cs="Times New Roman" w:hint="eastAsia"/>
          <w:sz w:val="32"/>
          <w:szCs w:val="32"/>
        </w:rPr>
        <w:t>、</w:t>
      </w:r>
      <w:r>
        <w:rPr>
          <w:rFonts w:ascii="仿宋" w:eastAsia="仿宋" w:hAnsi="仿宋" w:cs="Times New Roman" w:hint="eastAsia"/>
          <w:sz w:val="32"/>
          <w:szCs w:val="32"/>
        </w:rPr>
        <w:t>宝五镇</w:t>
      </w:r>
      <w:r>
        <w:rPr>
          <w:rFonts w:ascii="仿宋" w:eastAsia="仿宋" w:hAnsi="仿宋" w:cs="Times New Roman" w:hint="eastAsia"/>
          <w:sz w:val="32"/>
          <w:szCs w:val="32"/>
        </w:rPr>
        <w:t>、</w:t>
      </w:r>
      <w:r>
        <w:rPr>
          <w:rFonts w:ascii="仿宋" w:eastAsia="仿宋" w:hAnsi="仿宋" w:cs="Times New Roman" w:hint="eastAsia"/>
          <w:sz w:val="32"/>
          <w:szCs w:val="32"/>
        </w:rPr>
        <w:t>镇</w:t>
      </w:r>
      <w:r>
        <w:rPr>
          <w:rFonts w:ascii="仿宋" w:eastAsia="仿宋" w:hAnsi="仿宋" w:cs="Times New Roman" w:hint="eastAsia"/>
          <w:sz w:val="32"/>
          <w:szCs w:val="32"/>
        </w:rPr>
        <w:lastRenderedPageBreak/>
        <w:t>阳镇</w:t>
      </w:r>
      <w:r>
        <w:rPr>
          <w:rFonts w:ascii="仿宋" w:eastAsia="仿宋" w:hAnsi="仿宋" w:cs="Times New Roman" w:hint="eastAsia"/>
          <w:sz w:val="32"/>
          <w:szCs w:val="32"/>
        </w:rPr>
        <w:t>、</w:t>
      </w:r>
      <w:r>
        <w:rPr>
          <w:rFonts w:ascii="仿宋" w:eastAsia="仿宋" w:hAnsi="仿宋" w:cs="Times New Roman" w:hint="eastAsia"/>
          <w:sz w:val="32"/>
          <w:szCs w:val="32"/>
        </w:rPr>
        <w:t>高凤镇</w:t>
      </w:r>
      <w:r>
        <w:rPr>
          <w:rFonts w:ascii="仿宋" w:eastAsia="仿宋" w:hAnsi="仿宋" w:cs="Times New Roman" w:hint="eastAsia"/>
          <w:sz w:val="32"/>
          <w:szCs w:val="32"/>
        </w:rPr>
        <w:t>、</w:t>
      </w:r>
      <w:r>
        <w:rPr>
          <w:rFonts w:ascii="仿宋" w:eastAsia="仿宋" w:hAnsi="仿宋" w:cs="Times New Roman" w:hint="eastAsia"/>
          <w:sz w:val="32"/>
          <w:szCs w:val="32"/>
        </w:rPr>
        <w:t>门坎镇</w:t>
      </w:r>
      <w:r>
        <w:rPr>
          <w:rFonts w:ascii="仿宋" w:eastAsia="仿宋" w:hAnsi="仿宋" w:cs="Times New Roman" w:hint="eastAsia"/>
          <w:sz w:val="32"/>
          <w:szCs w:val="32"/>
        </w:rPr>
        <w:t>10</w:t>
      </w:r>
      <w:r>
        <w:rPr>
          <w:rFonts w:ascii="仿宋" w:eastAsia="仿宋" w:hAnsi="仿宋" w:cs="Times New Roman" w:hint="eastAsia"/>
          <w:sz w:val="32"/>
          <w:szCs w:val="32"/>
        </w:rPr>
        <w:t>个</w:t>
      </w:r>
      <w:r>
        <w:rPr>
          <w:rFonts w:ascii="Times New Roman" w:eastAsia="仿宋" w:hAnsi="Times New Roman" w:cs="Times New Roman"/>
          <w:sz w:val="32"/>
          <w:szCs w:val="32"/>
        </w:rPr>
        <w:t>镇</w:t>
      </w:r>
      <w:r>
        <w:rPr>
          <w:rFonts w:ascii="Times New Roman" w:eastAsia="仿宋" w:hAnsi="Times New Roman" w:cs="Times New Roman" w:hint="eastAsia"/>
          <w:sz w:val="32"/>
          <w:szCs w:val="32"/>
        </w:rPr>
        <w:t>所在地的所有街道及磨池社区</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采取</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仿宋" w:eastAsia="仿宋" w:hAnsi="仿宋" w:cs="Times New Roman" w:hint="eastAsia"/>
          <w:sz w:val="32"/>
          <w:szCs w:val="32"/>
        </w:rPr>
        <w:t>相邻零售点</w:t>
      </w:r>
      <w:r>
        <w:rPr>
          <w:rFonts w:ascii="仿宋" w:eastAsia="仿宋" w:hAnsi="仿宋" w:cs="Times New Roman" w:hint="eastAsia"/>
          <w:sz w:val="32"/>
          <w:szCs w:val="32"/>
        </w:rPr>
        <w:t>之间间距不低于</w:t>
      </w:r>
      <w:r>
        <w:rPr>
          <w:rFonts w:ascii="仿宋" w:eastAsia="仿宋" w:hAnsi="仿宋" w:cs="Times New Roman" w:hint="eastAsia"/>
          <w:sz w:val="32"/>
          <w:szCs w:val="32"/>
        </w:rPr>
        <w:t>10</w:t>
      </w:r>
      <w:r>
        <w:rPr>
          <w:rFonts w:ascii="仿宋" w:eastAsia="仿宋" w:hAnsi="仿宋" w:cs="Times New Roman" w:hint="eastAsia"/>
          <w:sz w:val="32"/>
          <w:szCs w:val="32"/>
        </w:rPr>
        <w:t>米</w:t>
      </w:r>
      <w:r>
        <w:rPr>
          <w:rFonts w:ascii="仿宋" w:eastAsia="仿宋" w:hAnsi="仿宋" w:cs="Times New Roman" w:hint="eastAsia"/>
          <w:sz w:val="32"/>
          <w:szCs w:val="32"/>
        </w:rPr>
        <w:t>。四合村、桥咡井村等</w:t>
      </w:r>
      <w:r>
        <w:rPr>
          <w:rFonts w:ascii="仿宋" w:eastAsia="仿宋" w:hAnsi="仿宋" w:cs="Times New Roman" w:hint="eastAsia"/>
          <w:sz w:val="32"/>
          <w:szCs w:val="32"/>
        </w:rPr>
        <w:t>87</w:t>
      </w:r>
      <w:bookmarkStart w:id="0" w:name="_GoBack"/>
      <w:bookmarkEnd w:id="0"/>
      <w:r>
        <w:rPr>
          <w:rFonts w:ascii="仿宋" w:eastAsia="仿宋" w:hAnsi="仿宋" w:cs="Times New Roman" w:hint="eastAsia"/>
          <w:sz w:val="32"/>
          <w:szCs w:val="32"/>
        </w:rPr>
        <w:t>个行政村</w:t>
      </w:r>
      <w:r>
        <w:rPr>
          <w:rFonts w:ascii="Times New Roman" w:eastAsia="仿宋" w:hAnsi="Times New Roman" w:cs="Times New Roman"/>
          <w:sz w:val="32"/>
          <w:szCs w:val="32"/>
        </w:rPr>
        <w:t>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设置采取</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仿宋" w:eastAsia="仿宋" w:hAnsi="仿宋" w:cs="Times New Roman" w:hint="eastAsia"/>
          <w:sz w:val="32"/>
          <w:szCs w:val="32"/>
        </w:rPr>
        <w:t>相邻零售点</w:t>
      </w:r>
      <w:r>
        <w:rPr>
          <w:rFonts w:ascii="仿宋" w:eastAsia="仿宋" w:hAnsi="仿宋" w:cs="Times New Roman" w:hint="eastAsia"/>
          <w:sz w:val="32"/>
          <w:szCs w:val="32"/>
        </w:rPr>
        <w:t>之间间距不低于</w:t>
      </w:r>
      <w:r>
        <w:rPr>
          <w:rFonts w:ascii="仿宋" w:eastAsia="仿宋" w:hAnsi="仿宋" w:cs="Times New Roman" w:hint="eastAsia"/>
          <w:sz w:val="32"/>
          <w:szCs w:val="32"/>
        </w:rPr>
        <w:t>100</w:t>
      </w:r>
      <w:r>
        <w:rPr>
          <w:rFonts w:ascii="仿宋" w:eastAsia="仿宋" w:hAnsi="仿宋" w:cs="Times New Roman" w:hint="eastAsia"/>
          <w:sz w:val="32"/>
          <w:szCs w:val="32"/>
        </w:rPr>
        <w:t>米</w:t>
      </w:r>
      <w:r>
        <w:rPr>
          <w:rFonts w:ascii="仿宋" w:eastAsia="仿宋" w:hAnsi="仿宋" w:cs="Times New Roman" w:hint="eastAsia"/>
          <w:sz w:val="32"/>
          <w:szCs w:val="32"/>
        </w:rPr>
        <w:t>，对尚无烟草制品零售点的空白行政村设置</w:t>
      </w:r>
      <w:r>
        <w:rPr>
          <w:rFonts w:ascii="仿宋" w:eastAsia="仿宋" w:hAnsi="仿宋" w:cs="Times New Roman" w:hint="eastAsia"/>
          <w:sz w:val="32"/>
          <w:szCs w:val="32"/>
        </w:rPr>
        <w:t>1</w:t>
      </w:r>
      <w:r>
        <w:rPr>
          <w:rFonts w:ascii="仿宋" w:eastAsia="仿宋" w:hAnsi="仿宋" w:cs="Times New Roman" w:hint="eastAsia"/>
          <w:sz w:val="32"/>
          <w:szCs w:val="32"/>
        </w:rPr>
        <w:t>个烟草制品零售点。</w:t>
      </w:r>
      <w:r>
        <w:rPr>
          <w:rFonts w:ascii="仿宋" w:eastAsia="仿宋" w:hAnsi="仿宋" w:cs="Times New Roman" w:hint="eastAsia"/>
          <w:sz w:val="32"/>
          <w:szCs w:val="32"/>
        </w:rPr>
        <w:t>规划名额指导总数</w:t>
      </w:r>
      <w:r>
        <w:rPr>
          <w:rFonts w:ascii="仿宋" w:eastAsia="仿宋" w:hAnsi="仿宋" w:cs="Times New Roman" w:hint="eastAsia"/>
          <w:sz w:val="32"/>
          <w:szCs w:val="32"/>
        </w:rPr>
        <w:t>690</w:t>
      </w:r>
      <w:r>
        <w:rPr>
          <w:rFonts w:ascii="仿宋" w:eastAsia="仿宋" w:hAnsi="仿宋" w:cs="Times New Roman" w:hint="eastAsia"/>
          <w:sz w:val="32"/>
          <w:szCs w:val="32"/>
        </w:rPr>
        <w:t>个，详见附件</w:t>
      </w:r>
      <w:r>
        <w:rPr>
          <w:rFonts w:ascii="仿宋" w:eastAsia="仿宋" w:hAnsi="仿宋" w:cs="Times New Roman" w:hint="eastAsia"/>
          <w:sz w:val="32"/>
          <w:szCs w:val="32"/>
        </w:rPr>
        <w:t>2</w:t>
      </w:r>
      <w:r>
        <w:rPr>
          <w:rFonts w:ascii="仿宋" w:eastAsia="仿宋" w:hAnsi="仿宋" w:cs="Times New Roman" w:hint="eastAsia"/>
          <w:sz w:val="32"/>
          <w:szCs w:val="32"/>
        </w:rPr>
        <w:t>《井研县烟草制品零售点合理布局规划表》。</w:t>
      </w:r>
    </w:p>
    <w:p w:rsidR="000065D8" w:rsidRDefault="000065D8">
      <w:pPr>
        <w:overflowPunct w:val="0"/>
        <w:rPr>
          <w:rFonts w:ascii="Times New Roman" w:eastAsia="黑体" w:hAnsi="Times New Roman" w:cs="Times New Roman"/>
          <w:sz w:val="32"/>
          <w:szCs w:val="32"/>
        </w:rPr>
      </w:pPr>
    </w:p>
    <w:p w:rsidR="000065D8" w:rsidRDefault="0008672C">
      <w:p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五</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特殊区域零售点</w:t>
      </w:r>
      <w:r>
        <w:rPr>
          <w:rFonts w:ascii="Times New Roman" w:eastAsia="黑体" w:hAnsi="Times New Roman" w:cs="Times New Roman"/>
          <w:sz w:val="32"/>
          <w:szCs w:val="32"/>
        </w:rPr>
        <w:t>布局规划</w:t>
      </w:r>
    </w:p>
    <w:p w:rsidR="000065D8" w:rsidRDefault="0008672C">
      <w:pPr>
        <w:overflowPunct w:val="0"/>
        <w:ind w:firstLineChars="300" w:firstLine="964"/>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十四</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特殊区域烟草制品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布局采用以下标准</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（一）封闭式住宅小区对内经营的</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设置根据小区规划户数采用</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Times New Roman" w:eastAsia="仿宋" w:hAnsi="Times New Roman" w:cs="Times New Roman"/>
          <w:sz w:val="32"/>
          <w:szCs w:val="32"/>
        </w:rPr>
        <w:t>布局。封闭式住宅小区规划住户户数在</w:t>
      </w:r>
      <w:r>
        <w:rPr>
          <w:rFonts w:ascii="Times New Roman" w:eastAsia="仿宋" w:hAnsi="Times New Roman" w:cs="Times New Roman" w:hint="eastAsia"/>
          <w:sz w:val="32"/>
          <w:szCs w:val="32"/>
        </w:rPr>
        <w:t>500</w:t>
      </w:r>
      <w:r>
        <w:rPr>
          <w:rFonts w:ascii="Times New Roman" w:eastAsia="仿宋" w:hAnsi="Times New Roman" w:cs="Times New Roman" w:hint="eastAsia"/>
          <w:sz w:val="32"/>
          <w:szCs w:val="32"/>
        </w:rPr>
        <w:t>户</w:t>
      </w:r>
      <w:r>
        <w:rPr>
          <w:rFonts w:ascii="Times New Roman" w:eastAsia="仿宋" w:hAnsi="Times New Roman" w:cs="Times New Roman"/>
          <w:sz w:val="32"/>
          <w:szCs w:val="32"/>
        </w:rPr>
        <w:t>以</w:t>
      </w:r>
      <w:r>
        <w:rPr>
          <w:rFonts w:ascii="Times New Roman" w:eastAsia="仿宋" w:hAnsi="Times New Roman" w:cs="Times New Roman" w:hint="eastAsia"/>
          <w:sz w:val="32"/>
          <w:szCs w:val="32"/>
        </w:rPr>
        <w:t>上</w:t>
      </w:r>
      <w:r>
        <w:rPr>
          <w:rFonts w:ascii="Times New Roman" w:eastAsia="仿宋" w:hAnsi="Times New Roman" w:cs="Times New Roman"/>
          <w:sz w:val="32"/>
          <w:szCs w:val="32"/>
        </w:rPr>
        <w:t>的，可</w:t>
      </w:r>
      <w:r>
        <w:rPr>
          <w:rFonts w:ascii="Times New Roman" w:eastAsia="仿宋" w:hAnsi="Times New Roman" w:cs="Times New Roman" w:hint="eastAsia"/>
          <w:sz w:val="32"/>
          <w:szCs w:val="32"/>
        </w:rPr>
        <w:t>设置</w:t>
      </w:r>
      <w:r>
        <w:rPr>
          <w:rFonts w:ascii="Times New Roman" w:eastAsia="仿宋" w:hAnsi="Times New Roman" w:cs="Times New Roman"/>
          <w:sz w:val="32"/>
          <w:szCs w:val="32"/>
        </w:rPr>
        <w:t>1</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，每超过</w:t>
      </w:r>
      <w:r>
        <w:rPr>
          <w:rFonts w:ascii="Times New Roman" w:eastAsia="仿宋" w:hAnsi="Times New Roman" w:cs="Times New Roman" w:hint="eastAsia"/>
          <w:sz w:val="32"/>
          <w:szCs w:val="32"/>
        </w:rPr>
        <w:t>500</w:t>
      </w:r>
      <w:r>
        <w:rPr>
          <w:rFonts w:ascii="Times New Roman" w:eastAsia="仿宋" w:hAnsi="Times New Roman" w:cs="Times New Roman"/>
          <w:sz w:val="32"/>
          <w:szCs w:val="32"/>
        </w:rPr>
        <w:t>户（含）可增设</w:t>
      </w:r>
      <w:r>
        <w:rPr>
          <w:rFonts w:ascii="Times New Roman" w:eastAsia="仿宋" w:hAnsi="Times New Roman" w:cs="Times New Roman"/>
          <w:sz w:val="32"/>
          <w:szCs w:val="32"/>
        </w:rPr>
        <w:t>1</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，超过</w:t>
      </w:r>
      <w:r>
        <w:rPr>
          <w:rFonts w:ascii="Times New Roman" w:eastAsia="仿宋" w:hAnsi="Times New Roman" w:cs="Times New Roman" w:hint="eastAsia"/>
          <w:sz w:val="32"/>
          <w:szCs w:val="32"/>
        </w:rPr>
        <w:t>1500</w:t>
      </w:r>
      <w:r>
        <w:rPr>
          <w:rFonts w:ascii="Times New Roman" w:eastAsia="仿宋" w:hAnsi="Times New Roman" w:cs="Times New Roman"/>
          <w:sz w:val="32"/>
          <w:szCs w:val="32"/>
        </w:rPr>
        <w:t>户的按</w:t>
      </w:r>
      <w:r>
        <w:rPr>
          <w:rFonts w:ascii="Times New Roman" w:eastAsia="仿宋" w:hAnsi="Times New Roman" w:cs="Times New Roman" w:hint="eastAsia"/>
          <w:sz w:val="32"/>
          <w:szCs w:val="32"/>
        </w:rPr>
        <w:t>1500</w:t>
      </w:r>
      <w:r>
        <w:rPr>
          <w:rFonts w:ascii="Times New Roman" w:eastAsia="仿宋" w:hAnsi="Times New Roman" w:cs="Times New Roman"/>
          <w:sz w:val="32"/>
          <w:szCs w:val="32"/>
        </w:rPr>
        <w:t>户计算，同一住宅小区内设置不超过</w:t>
      </w:r>
      <w:r>
        <w:rPr>
          <w:rFonts w:ascii="Times New Roman" w:eastAsia="仿宋" w:hAnsi="Times New Roman" w:cs="Times New Roman" w:hint="eastAsia"/>
          <w:sz w:val="32"/>
          <w:szCs w:val="32"/>
        </w:rPr>
        <w:t>3</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之间间距设定为不低于</w:t>
      </w:r>
      <w:r>
        <w:rPr>
          <w:rFonts w:ascii="Times New Roman" w:eastAsia="仿宋" w:hAnsi="Times New Roman" w:cs="Times New Roman" w:hint="eastAsia"/>
          <w:sz w:val="32"/>
          <w:szCs w:val="32"/>
        </w:rPr>
        <w:t>50</w:t>
      </w:r>
      <w:r>
        <w:rPr>
          <w:rFonts w:ascii="Times New Roman" w:eastAsia="仿宋" w:hAnsi="Times New Roman" w:cs="Times New Roman"/>
          <w:sz w:val="32"/>
          <w:szCs w:val="32"/>
        </w:rPr>
        <w:t>米。</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应为平层全开放式门店，住宅小区临街的经营场所（卷烟摆放或出入口、标牌设置面向建筑物外的）、开放式住宅小区，参照所在区域市场单元格的布局</w:t>
      </w:r>
      <w:r>
        <w:rPr>
          <w:rFonts w:ascii="Times New Roman" w:eastAsia="仿宋" w:hAnsi="Times New Roman" w:cs="Times New Roman" w:hint="eastAsia"/>
          <w:sz w:val="32"/>
          <w:szCs w:val="32"/>
        </w:rPr>
        <w:t>控制模式</w:t>
      </w:r>
      <w:r>
        <w:rPr>
          <w:rFonts w:ascii="Times New Roman" w:eastAsia="仿宋" w:hAnsi="Times New Roman" w:cs="Times New Roman"/>
          <w:sz w:val="32"/>
          <w:szCs w:val="32"/>
        </w:rPr>
        <w:t>执行。</w:t>
      </w:r>
    </w:p>
    <w:p w:rsidR="000065D8" w:rsidRDefault="0008672C">
      <w:pPr>
        <w:pStyle w:val="ab"/>
        <w:ind w:firstLineChars="200" w:firstLine="640"/>
        <w:rPr>
          <w:rFonts w:eastAsia="仿宋"/>
          <w:sz w:val="32"/>
          <w:szCs w:val="32"/>
        </w:rPr>
      </w:pPr>
      <w:r>
        <w:rPr>
          <w:rFonts w:eastAsia="仿宋" w:hint="eastAsia"/>
          <w:sz w:val="32"/>
          <w:szCs w:val="32"/>
        </w:rPr>
        <w:lastRenderedPageBreak/>
        <w:t>（二）</w:t>
      </w:r>
      <w:r>
        <w:rPr>
          <w:rFonts w:eastAsia="仿宋"/>
          <w:sz w:val="32"/>
          <w:szCs w:val="32"/>
        </w:rPr>
        <w:t>各类综合性商业市场、农贸市场、专业批发市场等商业市场内，根据固定门面（摊位）的</w:t>
      </w:r>
      <w:r>
        <w:rPr>
          <w:rFonts w:eastAsia="仿宋" w:hint="eastAsia"/>
          <w:sz w:val="32"/>
          <w:szCs w:val="32"/>
        </w:rPr>
        <w:t>数量</w:t>
      </w:r>
      <w:r>
        <w:rPr>
          <w:rFonts w:eastAsia="仿宋"/>
          <w:sz w:val="32"/>
          <w:szCs w:val="32"/>
        </w:rPr>
        <w:t>采用</w:t>
      </w:r>
      <w:r>
        <w:rPr>
          <w:rFonts w:eastAsia="仿宋" w:hint="eastAsia"/>
          <w:sz w:val="32"/>
          <w:szCs w:val="32"/>
        </w:rPr>
        <w:t>“数量</w:t>
      </w:r>
      <w:r>
        <w:rPr>
          <w:rFonts w:eastAsia="仿宋" w:hint="eastAsia"/>
          <w:sz w:val="32"/>
          <w:szCs w:val="32"/>
        </w:rPr>
        <w:t>+</w:t>
      </w:r>
      <w:r>
        <w:rPr>
          <w:rFonts w:eastAsia="仿宋" w:hint="eastAsia"/>
          <w:sz w:val="32"/>
          <w:szCs w:val="32"/>
        </w:rPr>
        <w:t>距离”控制模式</w:t>
      </w:r>
      <w:r>
        <w:rPr>
          <w:rFonts w:eastAsia="仿宋"/>
          <w:sz w:val="32"/>
          <w:szCs w:val="32"/>
        </w:rPr>
        <w:t>设置</w:t>
      </w:r>
      <w:r>
        <w:rPr>
          <w:rFonts w:eastAsia="仿宋" w:hint="eastAsia"/>
          <w:sz w:val="32"/>
          <w:szCs w:val="32"/>
        </w:rPr>
        <w:t>零售点</w:t>
      </w:r>
      <w:r>
        <w:rPr>
          <w:rFonts w:eastAsia="仿宋"/>
          <w:sz w:val="32"/>
          <w:szCs w:val="32"/>
        </w:rPr>
        <w:t>。</w:t>
      </w:r>
      <w:r>
        <w:rPr>
          <w:rFonts w:ascii="仿宋" w:eastAsia="仿宋" w:hAnsi="仿宋" w:cs="仿宋" w:hint="eastAsia"/>
          <w:sz w:val="32"/>
          <w:szCs w:val="32"/>
        </w:rPr>
        <w:t>规模达到</w:t>
      </w:r>
      <w:r>
        <w:rPr>
          <w:rFonts w:ascii="仿宋" w:eastAsia="仿宋" w:hAnsi="仿宋" w:cs="仿宋" w:hint="eastAsia"/>
          <w:sz w:val="32"/>
          <w:szCs w:val="32"/>
        </w:rPr>
        <w:t>200</w:t>
      </w:r>
      <w:r>
        <w:rPr>
          <w:rFonts w:ascii="仿宋" w:eastAsia="仿宋" w:hAnsi="仿宋" w:cs="仿宋" w:hint="eastAsia"/>
          <w:sz w:val="32"/>
          <w:szCs w:val="32"/>
        </w:rPr>
        <w:t>户以上的，可设置</w:t>
      </w:r>
      <w:r>
        <w:rPr>
          <w:rFonts w:ascii="仿宋" w:eastAsia="仿宋" w:hAnsi="仿宋" w:cs="仿宋" w:hint="eastAsia"/>
          <w:sz w:val="32"/>
          <w:szCs w:val="32"/>
        </w:rPr>
        <w:t>1</w:t>
      </w:r>
      <w:r>
        <w:rPr>
          <w:rFonts w:ascii="仿宋" w:eastAsia="仿宋" w:hAnsi="仿宋" w:cs="仿宋" w:hint="eastAsia"/>
          <w:sz w:val="32"/>
          <w:szCs w:val="32"/>
        </w:rPr>
        <w:t>个</w:t>
      </w:r>
      <w:r>
        <w:rPr>
          <w:rFonts w:ascii="仿宋" w:eastAsia="仿宋" w:hAnsi="仿宋" w:cs="仿宋" w:hint="eastAsia"/>
          <w:sz w:val="32"/>
          <w:szCs w:val="32"/>
        </w:rPr>
        <w:t>零售点</w:t>
      </w:r>
      <w:r>
        <w:rPr>
          <w:rFonts w:ascii="仿宋" w:eastAsia="仿宋" w:hAnsi="仿宋" w:cs="仿宋" w:hint="eastAsia"/>
          <w:sz w:val="32"/>
          <w:szCs w:val="32"/>
        </w:rPr>
        <w:t>，规模达到</w:t>
      </w:r>
      <w:r>
        <w:rPr>
          <w:rFonts w:ascii="仿宋" w:eastAsia="仿宋" w:hAnsi="仿宋" w:cs="仿宋" w:hint="eastAsia"/>
          <w:sz w:val="32"/>
          <w:szCs w:val="32"/>
        </w:rPr>
        <w:t>500</w:t>
      </w:r>
      <w:r>
        <w:rPr>
          <w:rFonts w:ascii="仿宋" w:eastAsia="仿宋" w:hAnsi="仿宋" w:cs="仿宋" w:hint="eastAsia"/>
          <w:sz w:val="32"/>
          <w:szCs w:val="32"/>
        </w:rPr>
        <w:t>户以上的，可设置</w:t>
      </w:r>
      <w:r>
        <w:rPr>
          <w:rFonts w:ascii="仿宋" w:eastAsia="仿宋" w:hAnsi="仿宋" w:cs="仿宋" w:hint="eastAsia"/>
          <w:sz w:val="32"/>
          <w:szCs w:val="32"/>
        </w:rPr>
        <w:t>2</w:t>
      </w:r>
      <w:r>
        <w:rPr>
          <w:rFonts w:ascii="仿宋" w:eastAsia="仿宋" w:hAnsi="仿宋" w:cs="仿宋" w:hint="eastAsia"/>
          <w:sz w:val="32"/>
          <w:szCs w:val="32"/>
        </w:rPr>
        <w:t>个</w:t>
      </w:r>
      <w:r>
        <w:rPr>
          <w:rFonts w:ascii="仿宋" w:eastAsia="仿宋" w:hAnsi="仿宋" w:cs="仿宋" w:hint="eastAsia"/>
          <w:sz w:val="32"/>
          <w:szCs w:val="32"/>
        </w:rPr>
        <w:t>零售点</w:t>
      </w:r>
      <w:r>
        <w:rPr>
          <w:rFonts w:ascii="仿宋" w:eastAsia="仿宋" w:hAnsi="仿宋" w:cs="仿宋" w:hint="eastAsia"/>
          <w:sz w:val="32"/>
          <w:szCs w:val="32"/>
        </w:rPr>
        <w:t>，规模达到</w:t>
      </w:r>
      <w:r>
        <w:rPr>
          <w:rFonts w:ascii="仿宋" w:eastAsia="仿宋" w:hAnsi="仿宋" w:cs="仿宋" w:hint="eastAsia"/>
          <w:sz w:val="32"/>
          <w:szCs w:val="32"/>
        </w:rPr>
        <w:t>1000</w:t>
      </w:r>
      <w:r>
        <w:rPr>
          <w:rFonts w:ascii="仿宋" w:eastAsia="仿宋" w:hAnsi="仿宋" w:cs="仿宋" w:hint="eastAsia"/>
          <w:sz w:val="32"/>
          <w:szCs w:val="32"/>
        </w:rPr>
        <w:t>户以上的，</w:t>
      </w:r>
      <w:r>
        <w:rPr>
          <w:rFonts w:ascii="仿宋" w:eastAsia="仿宋" w:hAnsi="仿宋" w:cs="仿宋" w:hint="eastAsia"/>
          <w:sz w:val="32"/>
          <w:szCs w:val="32"/>
        </w:rPr>
        <w:t>最多</w:t>
      </w:r>
      <w:r>
        <w:rPr>
          <w:rFonts w:ascii="仿宋" w:eastAsia="仿宋" w:hAnsi="仿宋" w:cs="仿宋" w:hint="eastAsia"/>
          <w:sz w:val="32"/>
          <w:szCs w:val="32"/>
        </w:rPr>
        <w:t>设置</w:t>
      </w:r>
      <w:r>
        <w:rPr>
          <w:rFonts w:ascii="仿宋" w:eastAsia="仿宋" w:hAnsi="仿宋" w:cs="仿宋" w:hint="eastAsia"/>
          <w:sz w:val="32"/>
          <w:szCs w:val="32"/>
        </w:rPr>
        <w:t>3</w:t>
      </w:r>
      <w:r>
        <w:rPr>
          <w:rFonts w:ascii="仿宋" w:eastAsia="仿宋" w:hAnsi="仿宋" w:cs="仿宋" w:hint="eastAsia"/>
          <w:sz w:val="32"/>
          <w:szCs w:val="32"/>
        </w:rPr>
        <w:t>个</w:t>
      </w:r>
      <w:r>
        <w:rPr>
          <w:rFonts w:ascii="仿宋" w:eastAsia="仿宋" w:hAnsi="仿宋" w:cs="仿宋" w:hint="eastAsia"/>
          <w:sz w:val="32"/>
          <w:szCs w:val="32"/>
        </w:rPr>
        <w:t>零售点</w:t>
      </w:r>
      <w:r>
        <w:rPr>
          <w:rFonts w:ascii="仿宋" w:eastAsia="仿宋" w:hAnsi="仿宋" w:cs="仿宋" w:hint="eastAsia"/>
          <w:sz w:val="32"/>
          <w:szCs w:val="32"/>
        </w:rPr>
        <w:t>。市场内部</w:t>
      </w:r>
      <w:r>
        <w:rPr>
          <w:rFonts w:ascii="仿宋" w:eastAsia="仿宋" w:hAnsi="仿宋" w:cs="仿宋" w:hint="eastAsia"/>
          <w:sz w:val="32"/>
          <w:szCs w:val="32"/>
        </w:rPr>
        <w:t>零售点</w:t>
      </w:r>
      <w:r>
        <w:rPr>
          <w:rFonts w:ascii="仿宋" w:eastAsia="仿宋" w:hAnsi="仿宋" w:cs="仿宋" w:hint="eastAsia"/>
          <w:sz w:val="32"/>
          <w:szCs w:val="32"/>
        </w:rPr>
        <w:t>间距不得低于</w:t>
      </w:r>
      <w:r>
        <w:rPr>
          <w:rFonts w:ascii="仿宋" w:eastAsia="仿宋" w:hAnsi="仿宋" w:cs="仿宋" w:hint="eastAsia"/>
          <w:sz w:val="32"/>
          <w:szCs w:val="32"/>
        </w:rPr>
        <w:t>30</w:t>
      </w:r>
      <w:r>
        <w:rPr>
          <w:rFonts w:ascii="仿宋" w:eastAsia="仿宋" w:hAnsi="仿宋" w:cs="仿宋" w:hint="eastAsia"/>
          <w:sz w:val="32"/>
          <w:szCs w:val="32"/>
        </w:rPr>
        <w:t>米，市场外部临街面</w:t>
      </w:r>
      <w:r>
        <w:rPr>
          <w:rFonts w:ascii="仿宋" w:eastAsia="仿宋" w:hAnsi="仿宋" w:cs="仿宋" w:hint="eastAsia"/>
          <w:sz w:val="32"/>
          <w:szCs w:val="32"/>
        </w:rPr>
        <w:t>零售点按照所属单元格规划执行</w:t>
      </w:r>
      <w:r>
        <w:rPr>
          <w:rFonts w:ascii="仿宋" w:eastAsia="仿宋" w:hAnsi="仿宋" w:cs="仿宋" w:hint="eastAsia"/>
          <w:sz w:val="32"/>
          <w:szCs w:val="32"/>
        </w:rPr>
        <w:t>。若市场临街面</w:t>
      </w:r>
      <w:r>
        <w:rPr>
          <w:rFonts w:ascii="仿宋" w:eastAsia="仿宋" w:hAnsi="仿宋" w:cs="仿宋" w:hint="eastAsia"/>
          <w:sz w:val="32"/>
          <w:szCs w:val="32"/>
        </w:rPr>
        <w:t>零售点</w:t>
      </w:r>
      <w:r>
        <w:rPr>
          <w:rFonts w:ascii="仿宋" w:eastAsia="仿宋" w:hAnsi="仿宋" w:cs="仿宋" w:hint="eastAsia"/>
          <w:sz w:val="32"/>
          <w:szCs w:val="32"/>
        </w:rPr>
        <w:t>的经营场所存在与市场内部连通的情形，则</w:t>
      </w:r>
      <w:r>
        <w:rPr>
          <w:rFonts w:ascii="仿宋" w:eastAsia="仿宋" w:hAnsi="仿宋" w:cs="仿宋" w:hint="eastAsia"/>
          <w:sz w:val="32"/>
          <w:szCs w:val="32"/>
        </w:rPr>
        <w:t>按照市场内部零售点规划执行</w:t>
      </w:r>
      <w:r>
        <w:rPr>
          <w:rFonts w:ascii="仿宋" w:eastAsia="仿宋" w:hAnsi="仿宋" w:cs="仿宋" w:hint="eastAsia"/>
          <w:sz w:val="32"/>
          <w:szCs w:val="32"/>
        </w:rPr>
        <w:t>。</w:t>
      </w:r>
      <w:r>
        <w:rPr>
          <w:rFonts w:ascii="仿宋" w:eastAsia="仿宋" w:hAnsi="仿宋" w:hint="eastAsia"/>
          <w:sz w:val="32"/>
          <w:szCs w:val="32"/>
        </w:rPr>
        <w:t>辖区内既存的各类型综合市场内设置</w:t>
      </w:r>
      <w:r>
        <w:rPr>
          <w:rFonts w:ascii="仿宋" w:eastAsia="仿宋" w:hAnsi="仿宋" w:hint="eastAsia"/>
          <w:sz w:val="32"/>
          <w:szCs w:val="32"/>
        </w:rPr>
        <w:t>零售点</w:t>
      </w:r>
      <w:r>
        <w:rPr>
          <w:rFonts w:ascii="仿宋" w:eastAsia="仿宋" w:hAnsi="仿宋" w:hint="eastAsia"/>
          <w:sz w:val="32"/>
          <w:szCs w:val="32"/>
        </w:rPr>
        <w:t>达到该区域</w:t>
      </w:r>
      <w:r>
        <w:rPr>
          <w:rFonts w:ascii="仿宋" w:eastAsia="仿宋" w:hAnsi="仿宋" w:hint="eastAsia"/>
          <w:sz w:val="32"/>
          <w:szCs w:val="32"/>
        </w:rPr>
        <w:t>零售点</w:t>
      </w:r>
      <w:r>
        <w:rPr>
          <w:rFonts w:ascii="仿宋" w:eastAsia="仿宋" w:hAnsi="仿宋" w:hint="eastAsia"/>
          <w:sz w:val="32"/>
          <w:szCs w:val="32"/>
        </w:rPr>
        <w:t>核定</w:t>
      </w:r>
      <w:r>
        <w:rPr>
          <w:rFonts w:ascii="仿宋" w:eastAsia="仿宋" w:hAnsi="仿宋" w:hint="eastAsia"/>
          <w:sz w:val="32"/>
          <w:szCs w:val="32"/>
        </w:rPr>
        <w:t>数量</w:t>
      </w:r>
      <w:r>
        <w:rPr>
          <w:rFonts w:ascii="仿宋" w:eastAsia="仿宋" w:hAnsi="仿宋" w:hint="eastAsia"/>
          <w:sz w:val="32"/>
          <w:szCs w:val="32"/>
        </w:rPr>
        <w:t>上限后按照“退一进一”的原则</w:t>
      </w:r>
      <w:r>
        <w:rPr>
          <w:rFonts w:ascii="仿宋" w:eastAsia="仿宋" w:hAnsi="仿宋" w:hint="eastAsia"/>
          <w:sz w:val="32"/>
          <w:szCs w:val="32"/>
        </w:rPr>
        <w:t>执行</w:t>
      </w:r>
      <w:r>
        <w:rPr>
          <w:rFonts w:ascii="仿宋" w:eastAsia="仿宋" w:hAnsi="仿宋" w:hint="eastAsia"/>
          <w:sz w:val="32"/>
          <w:szCs w:val="32"/>
        </w:rPr>
        <w:t>。</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（三）交通枢纽内部候乘场所，如客运汽车站、客运铁路车站、渡船码头等候乘场所内部采用</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Times New Roman" w:eastAsia="仿宋" w:hAnsi="Times New Roman" w:cs="Times New Roman"/>
          <w:sz w:val="32"/>
          <w:szCs w:val="32"/>
        </w:rPr>
        <w:t>，</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布局参考室内面积，</w:t>
      </w:r>
      <w:r>
        <w:rPr>
          <w:rFonts w:ascii="Times New Roman" w:eastAsia="仿宋" w:hAnsi="Times New Roman" w:cs="Times New Roman" w:hint="eastAsia"/>
          <w:sz w:val="32"/>
          <w:szCs w:val="32"/>
        </w:rPr>
        <w:t>500</w:t>
      </w:r>
      <w:r>
        <w:rPr>
          <w:rFonts w:ascii="Times New Roman" w:eastAsia="仿宋" w:hAnsi="Times New Roman" w:cs="Times New Roman"/>
          <w:sz w:val="32"/>
          <w:szCs w:val="32"/>
        </w:rPr>
        <w:t>平方米以下的，在公共开放的区域内可以设置</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，每超过</w:t>
      </w:r>
      <w:r>
        <w:rPr>
          <w:rFonts w:ascii="Times New Roman" w:eastAsia="仿宋" w:hAnsi="Times New Roman" w:cs="Times New Roman" w:hint="eastAsia"/>
          <w:sz w:val="32"/>
          <w:szCs w:val="32"/>
        </w:rPr>
        <w:t>500</w:t>
      </w:r>
      <w:r>
        <w:rPr>
          <w:rFonts w:ascii="Times New Roman" w:eastAsia="仿宋" w:hAnsi="Times New Roman" w:cs="Times New Roman"/>
          <w:sz w:val="32"/>
          <w:szCs w:val="32"/>
        </w:rPr>
        <w:t>方米可增设</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，内部候乘场所设置</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不得超过</w:t>
      </w:r>
      <w:r>
        <w:rPr>
          <w:rFonts w:ascii="Times New Roman" w:eastAsia="仿宋" w:hAnsi="Times New Roman" w:cs="Times New Roman" w:hint="eastAsia"/>
          <w:sz w:val="32"/>
          <w:szCs w:val="32"/>
        </w:rPr>
        <w:t>2</w:t>
      </w:r>
      <w:r>
        <w:rPr>
          <w:rFonts w:ascii="Times New Roman" w:eastAsia="仿宋" w:hAnsi="Times New Roman" w:cs="Times New Roman"/>
          <w:sz w:val="32"/>
          <w:szCs w:val="32"/>
        </w:rPr>
        <w:t>个，</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之间间距设定为不低于</w:t>
      </w:r>
      <w:r>
        <w:rPr>
          <w:rFonts w:ascii="Times New Roman" w:eastAsia="仿宋" w:hAnsi="Times New Roman" w:cs="Times New Roman" w:hint="eastAsia"/>
          <w:sz w:val="32"/>
          <w:szCs w:val="32"/>
        </w:rPr>
        <w:t>50</w:t>
      </w:r>
      <w:r>
        <w:rPr>
          <w:rFonts w:ascii="Times New Roman" w:eastAsia="仿宋" w:hAnsi="Times New Roman" w:cs="Times New Roman"/>
          <w:sz w:val="32"/>
          <w:szCs w:val="32"/>
        </w:rPr>
        <w:t>米。</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（四）封闭式特殊区域内设置的对内经营场</w:t>
      </w:r>
      <w:r>
        <w:rPr>
          <w:rFonts w:ascii="Times New Roman" w:eastAsia="仿宋" w:hAnsi="Times New Roman" w:cs="Times New Roman"/>
          <w:sz w:val="32"/>
          <w:szCs w:val="32"/>
        </w:rPr>
        <w:t>所采用</w:t>
      </w:r>
      <w:r>
        <w:rPr>
          <w:rFonts w:ascii="Times New Roman" w:eastAsia="仿宋" w:hAnsi="Times New Roman" w:cs="Times New Roman" w:hint="eastAsia"/>
          <w:sz w:val="32"/>
          <w:szCs w:val="32"/>
        </w:rPr>
        <w:t>“数量”控制模式</w:t>
      </w:r>
      <w:r>
        <w:rPr>
          <w:rFonts w:ascii="Times New Roman" w:eastAsia="仿宋" w:hAnsi="Times New Roman" w:cs="Times New Roman"/>
          <w:sz w:val="32"/>
          <w:szCs w:val="32"/>
        </w:rPr>
        <w:t>布局，军事单位、拘留所、看守所、戒毒所、监狱等对内经营的封闭式特殊区域，每个区域</w:t>
      </w:r>
      <w:r>
        <w:rPr>
          <w:rFonts w:ascii="Times New Roman" w:eastAsia="仿宋" w:hAnsi="Times New Roman" w:cs="Times New Roman" w:hint="eastAsia"/>
          <w:sz w:val="32"/>
          <w:szCs w:val="32"/>
        </w:rPr>
        <w:t>最多</w:t>
      </w:r>
      <w:r>
        <w:rPr>
          <w:rFonts w:ascii="Times New Roman" w:eastAsia="仿宋" w:hAnsi="Times New Roman" w:cs="Times New Roman"/>
          <w:sz w:val="32"/>
          <w:szCs w:val="32"/>
        </w:rPr>
        <w:t>设置</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w:t>
      </w:r>
      <w:r>
        <w:rPr>
          <w:rFonts w:ascii="仿宋" w:eastAsia="仿宋" w:hAnsi="仿宋" w:cs="Times New Roman" w:hint="eastAsia"/>
          <w:sz w:val="28"/>
          <w:szCs w:val="28"/>
        </w:rPr>
        <w:t>高等教育院校生活区内</w:t>
      </w:r>
      <w:r>
        <w:rPr>
          <w:rFonts w:ascii="Times New Roman" w:eastAsia="仿宋" w:hAnsi="Times New Roman" w:cs="Times New Roman" w:hint="eastAsia"/>
          <w:sz w:val="32"/>
          <w:szCs w:val="32"/>
        </w:rPr>
        <w:t>最多</w:t>
      </w:r>
      <w:r>
        <w:rPr>
          <w:rFonts w:ascii="Times New Roman" w:eastAsia="仿宋" w:hAnsi="Times New Roman" w:cs="Times New Roman"/>
          <w:sz w:val="32"/>
          <w:szCs w:val="32"/>
        </w:rPr>
        <w:t>设置</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（五）休闲娱乐区域，如公园、游乐园、体育馆、度假村、旅游景区内集中提供问询、餐饮、日杂商品售卖等服务的场所内采用</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Times New Roman" w:eastAsia="仿宋" w:hAnsi="Times New Roman" w:cs="Times New Roman"/>
          <w:sz w:val="32"/>
          <w:szCs w:val="32"/>
        </w:rPr>
        <w:t>布局，面积</w:t>
      </w:r>
      <w:r>
        <w:rPr>
          <w:rFonts w:ascii="Times New Roman" w:eastAsia="仿宋" w:hAnsi="Times New Roman" w:cs="Times New Roman" w:hint="eastAsia"/>
          <w:sz w:val="32"/>
          <w:szCs w:val="32"/>
        </w:rPr>
        <w:t>5000</w:t>
      </w:r>
      <w:r>
        <w:rPr>
          <w:rFonts w:ascii="Times New Roman" w:eastAsia="仿宋" w:hAnsi="Times New Roman" w:cs="Times New Roman"/>
          <w:sz w:val="32"/>
          <w:szCs w:val="32"/>
        </w:rPr>
        <w:t>平方米以下的，可设置</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，每递增</w:t>
      </w:r>
      <w:r>
        <w:rPr>
          <w:rFonts w:ascii="Times New Roman" w:eastAsia="仿宋" w:hAnsi="Times New Roman" w:cs="Times New Roman" w:hint="eastAsia"/>
          <w:sz w:val="32"/>
          <w:szCs w:val="32"/>
        </w:rPr>
        <w:t>5000</w:t>
      </w:r>
      <w:r>
        <w:rPr>
          <w:rFonts w:ascii="Times New Roman" w:eastAsia="仿宋" w:hAnsi="Times New Roman" w:cs="Times New Roman"/>
          <w:sz w:val="32"/>
          <w:szCs w:val="32"/>
        </w:rPr>
        <w:t>平方米可增设</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之间间距设定为不低于</w:t>
      </w:r>
      <w:r>
        <w:rPr>
          <w:rFonts w:ascii="Times New Roman" w:eastAsia="仿宋" w:hAnsi="Times New Roman" w:cs="Times New Roman" w:hint="eastAsia"/>
          <w:sz w:val="32"/>
          <w:szCs w:val="32"/>
        </w:rPr>
        <w:t>100</w:t>
      </w:r>
      <w:r>
        <w:rPr>
          <w:rFonts w:ascii="Times New Roman" w:eastAsia="仿宋" w:hAnsi="Times New Roman" w:cs="Times New Roman"/>
          <w:sz w:val="32"/>
          <w:szCs w:val="32"/>
        </w:rPr>
        <w:t>米，设置</w:t>
      </w:r>
      <w:r>
        <w:rPr>
          <w:rFonts w:ascii="Times New Roman" w:eastAsia="仿宋" w:hAnsi="Times New Roman" w:cs="Times New Roman" w:hint="eastAsia"/>
          <w:sz w:val="32"/>
          <w:szCs w:val="32"/>
        </w:rPr>
        <w:t>零售点数量</w:t>
      </w:r>
      <w:r>
        <w:rPr>
          <w:rFonts w:ascii="Times New Roman" w:eastAsia="仿宋" w:hAnsi="Times New Roman" w:cs="Times New Roman"/>
          <w:sz w:val="32"/>
          <w:szCs w:val="32"/>
        </w:rPr>
        <w:t>不得超过</w:t>
      </w:r>
      <w:r>
        <w:rPr>
          <w:rFonts w:ascii="Times New Roman" w:eastAsia="仿宋" w:hAnsi="Times New Roman" w:cs="Times New Roman" w:hint="eastAsia"/>
          <w:sz w:val="32"/>
          <w:szCs w:val="32"/>
        </w:rPr>
        <w:t>3</w:t>
      </w:r>
      <w:r>
        <w:rPr>
          <w:rFonts w:ascii="Times New Roman" w:eastAsia="仿宋" w:hAnsi="Times New Roman" w:cs="Times New Roman"/>
          <w:sz w:val="32"/>
          <w:szCs w:val="32"/>
        </w:rPr>
        <w:t>个。</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（六）</w:t>
      </w:r>
      <w:r>
        <w:rPr>
          <w:rFonts w:ascii="Times New Roman" w:eastAsia="仿宋" w:hAnsi="Times New Roman" w:cs="Times New Roman" w:hint="eastAsia"/>
          <w:sz w:val="32"/>
          <w:szCs w:val="32"/>
        </w:rPr>
        <w:t>不在高速公路服务区且</w:t>
      </w:r>
      <w:r>
        <w:rPr>
          <w:rFonts w:ascii="Times New Roman" w:eastAsia="仿宋" w:hAnsi="Times New Roman" w:cs="Times New Roman"/>
          <w:sz w:val="32"/>
          <w:szCs w:val="32"/>
        </w:rPr>
        <w:t>具备安全保障措施、不存在安全隐患的加油站</w:t>
      </w:r>
      <w:r>
        <w:rPr>
          <w:rFonts w:ascii="Times New Roman" w:eastAsia="仿宋" w:hAnsi="Times New Roman" w:cs="Times New Roman" w:hint="eastAsia"/>
          <w:sz w:val="32"/>
          <w:szCs w:val="32"/>
        </w:rPr>
        <w:t>、充电站</w:t>
      </w:r>
      <w:r>
        <w:rPr>
          <w:rFonts w:ascii="Times New Roman" w:eastAsia="仿宋" w:hAnsi="Times New Roman" w:cs="Times New Roman"/>
          <w:sz w:val="32"/>
          <w:szCs w:val="32"/>
        </w:rPr>
        <w:t>便利店采用</w:t>
      </w:r>
      <w:r>
        <w:rPr>
          <w:rFonts w:ascii="Times New Roman" w:eastAsia="仿宋" w:hAnsi="Times New Roman" w:cs="Times New Roman" w:hint="eastAsia"/>
          <w:sz w:val="32"/>
          <w:szCs w:val="32"/>
        </w:rPr>
        <w:t>“数量”控制模式</w:t>
      </w:r>
      <w:r>
        <w:rPr>
          <w:rFonts w:ascii="Times New Roman" w:eastAsia="仿宋" w:hAnsi="Times New Roman" w:cs="Times New Roman"/>
          <w:sz w:val="32"/>
          <w:szCs w:val="32"/>
        </w:rPr>
        <w:t>，</w:t>
      </w:r>
      <w:r>
        <w:rPr>
          <w:rFonts w:ascii="Times New Roman" w:eastAsia="仿宋" w:hAnsi="Times New Roman" w:cs="Times New Roman" w:hint="eastAsia"/>
          <w:sz w:val="32"/>
          <w:szCs w:val="32"/>
        </w:rPr>
        <w:t>可</w:t>
      </w:r>
      <w:r>
        <w:rPr>
          <w:rFonts w:ascii="Times New Roman" w:eastAsia="仿宋" w:hAnsi="Times New Roman" w:cs="Times New Roman"/>
          <w:sz w:val="32"/>
          <w:szCs w:val="32"/>
        </w:rPr>
        <w:t>设置</w:t>
      </w:r>
      <w:r>
        <w:rPr>
          <w:rFonts w:ascii="Times New Roman" w:eastAsia="仿宋" w:hAnsi="Times New Roman" w:cs="Times New Roman"/>
          <w:sz w:val="32"/>
          <w:szCs w:val="32"/>
        </w:rPr>
        <w:t>1</w:t>
      </w:r>
      <w:r>
        <w:rPr>
          <w:rFonts w:ascii="Times New Roman" w:eastAsia="仿宋" w:hAnsi="Times New Roman" w:cs="Times New Roman"/>
          <w:sz w:val="32"/>
          <w:szCs w:val="32"/>
        </w:rPr>
        <w:t>个烟草制品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w:t>
      </w:r>
      <w:r>
        <w:rPr>
          <w:rFonts w:ascii="Times New Roman" w:eastAsia="仿宋" w:hAnsi="Times New Roman" w:cs="Times New Roman" w:hint="eastAsia"/>
          <w:sz w:val="32"/>
          <w:szCs w:val="32"/>
        </w:rPr>
        <w:t>若该区域</w:t>
      </w:r>
      <w:r>
        <w:rPr>
          <w:rFonts w:ascii="Times New Roman" w:eastAsia="仿宋" w:hAnsi="Times New Roman" w:cs="Times New Roman"/>
          <w:sz w:val="32"/>
          <w:szCs w:val="32"/>
        </w:rPr>
        <w:t>加油站</w:t>
      </w:r>
      <w:r>
        <w:rPr>
          <w:rFonts w:ascii="Times New Roman" w:eastAsia="仿宋" w:hAnsi="Times New Roman" w:cs="Times New Roman" w:hint="eastAsia"/>
          <w:sz w:val="32"/>
          <w:szCs w:val="32"/>
        </w:rPr>
        <w:t>、充电站分别有便利店的，按照“受理在先”的原则执行</w:t>
      </w:r>
      <w:r>
        <w:rPr>
          <w:rFonts w:ascii="Times New Roman" w:eastAsia="仿宋" w:hAnsi="Times New Roman" w:cs="Times New Roman" w:hint="eastAsia"/>
          <w:sz w:val="32"/>
          <w:szCs w:val="32"/>
        </w:rPr>
        <w:t>。</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（七）高速公路服务区（单侧）采用</w:t>
      </w:r>
      <w:r>
        <w:rPr>
          <w:rFonts w:ascii="Times New Roman" w:eastAsia="仿宋" w:hAnsi="Times New Roman" w:cs="Times New Roman" w:hint="eastAsia"/>
          <w:sz w:val="32"/>
          <w:szCs w:val="32"/>
        </w:rPr>
        <w:t>“数量”控制模式</w:t>
      </w:r>
      <w:r>
        <w:rPr>
          <w:rFonts w:ascii="Times New Roman" w:eastAsia="仿宋" w:hAnsi="Times New Roman" w:cs="Times New Roman" w:hint="eastAsia"/>
          <w:sz w:val="32"/>
          <w:szCs w:val="32"/>
        </w:rPr>
        <w:t>布局，</w:t>
      </w:r>
      <w:r>
        <w:rPr>
          <w:rFonts w:ascii="Times New Roman" w:eastAsia="仿宋" w:hAnsi="Times New Roman" w:cs="Times New Roman" w:hint="eastAsia"/>
          <w:sz w:val="32"/>
          <w:szCs w:val="32"/>
        </w:rPr>
        <w:t>一个服务区内最多</w:t>
      </w:r>
      <w:r>
        <w:rPr>
          <w:rFonts w:ascii="Times New Roman" w:eastAsia="仿宋" w:hAnsi="Times New Roman" w:cs="Times New Roman" w:hint="eastAsia"/>
          <w:sz w:val="32"/>
          <w:szCs w:val="32"/>
        </w:rPr>
        <w:t>设置</w:t>
      </w: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个烟草制品</w:t>
      </w:r>
      <w:r>
        <w:rPr>
          <w:rFonts w:ascii="Times New Roman" w:eastAsia="仿宋" w:hAnsi="Times New Roman" w:cs="Times New Roman" w:hint="eastAsia"/>
          <w:sz w:val="32"/>
          <w:szCs w:val="32"/>
        </w:rPr>
        <w:t>零售点。若服务区、加油站、充电站分别有便利店的，按照“受理在先”的原则执行</w:t>
      </w:r>
      <w:r>
        <w:rPr>
          <w:rFonts w:ascii="Times New Roman" w:eastAsia="仿宋" w:hAnsi="Times New Roman" w:cs="Times New Roman" w:hint="eastAsia"/>
          <w:sz w:val="32"/>
          <w:szCs w:val="32"/>
        </w:rPr>
        <w:t>。</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上述特殊区域的</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仅作为该场所内的</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设置参照，不作为其他</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间距测量的参照</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十五</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新建或在建的城镇新区、特色城镇、住宅小区、道路等，处于开发或规划阶段，尚未纳入烟草制品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合理布局区域单元规划表的区域和小区，采用</w:t>
      </w:r>
      <w:r>
        <w:rPr>
          <w:rFonts w:ascii="Times New Roman" w:eastAsia="仿宋" w:hAnsi="Times New Roman" w:cs="Times New Roman" w:hint="eastAsia"/>
          <w:sz w:val="32"/>
          <w:szCs w:val="32"/>
        </w:rPr>
        <w:t>“距离”控制模式</w:t>
      </w:r>
      <w:r>
        <w:rPr>
          <w:rFonts w:ascii="Times New Roman" w:eastAsia="仿宋" w:hAnsi="Times New Roman" w:cs="Times New Roman"/>
          <w:sz w:val="32"/>
          <w:szCs w:val="32"/>
        </w:rPr>
        <w:t>，该区域内的</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之间间距不得低于</w:t>
      </w:r>
      <w:r>
        <w:rPr>
          <w:rFonts w:ascii="Times New Roman" w:eastAsia="仿宋" w:hAnsi="Times New Roman" w:cs="Times New Roman" w:hint="eastAsia"/>
          <w:sz w:val="32"/>
          <w:szCs w:val="32"/>
        </w:rPr>
        <w:t>30</w:t>
      </w:r>
      <w:r>
        <w:rPr>
          <w:rFonts w:ascii="Times New Roman" w:eastAsia="仿宋" w:hAnsi="Times New Roman" w:cs="Times New Roman"/>
          <w:sz w:val="32"/>
          <w:szCs w:val="32"/>
        </w:rPr>
        <w:t>米，不受</w:t>
      </w:r>
      <w:r>
        <w:rPr>
          <w:rFonts w:ascii="Times New Roman" w:eastAsia="仿宋" w:hAnsi="Times New Roman" w:cs="Times New Roman" w:hint="eastAsia"/>
          <w:sz w:val="32"/>
          <w:szCs w:val="32"/>
        </w:rPr>
        <w:t>所属</w:t>
      </w:r>
      <w:r>
        <w:rPr>
          <w:rFonts w:ascii="Times New Roman" w:eastAsia="仿宋" w:hAnsi="Times New Roman" w:cs="Times New Roman"/>
          <w:sz w:val="32"/>
          <w:szCs w:val="32"/>
        </w:rPr>
        <w:t>单元格</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限制。</w:t>
      </w:r>
    </w:p>
    <w:p w:rsidR="000065D8" w:rsidRDefault="000065D8">
      <w:pPr>
        <w:overflowPunct w:val="0"/>
        <w:rPr>
          <w:rFonts w:ascii="Times New Roman" w:eastAsia="黑体" w:hAnsi="Times New Roman" w:cs="Times New Roman"/>
          <w:sz w:val="32"/>
          <w:szCs w:val="32"/>
        </w:rPr>
      </w:pPr>
    </w:p>
    <w:p w:rsidR="000065D8" w:rsidRDefault="0008672C">
      <w:p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lastRenderedPageBreak/>
        <w:t>第</w:t>
      </w:r>
      <w:r>
        <w:rPr>
          <w:rFonts w:ascii="Times New Roman" w:eastAsia="黑体" w:hAnsi="Times New Roman" w:cs="Times New Roman" w:hint="eastAsia"/>
          <w:sz w:val="32"/>
          <w:szCs w:val="32"/>
        </w:rPr>
        <w:t>六</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特殊业态</w:t>
      </w:r>
      <w:r>
        <w:rPr>
          <w:rFonts w:ascii="Times New Roman" w:eastAsia="黑体" w:hAnsi="Times New Roman" w:cs="Times New Roman" w:hint="eastAsia"/>
          <w:sz w:val="32"/>
          <w:szCs w:val="32"/>
        </w:rPr>
        <w:t>零售点</w:t>
      </w:r>
      <w:r>
        <w:rPr>
          <w:rFonts w:ascii="Times New Roman" w:eastAsia="黑体" w:hAnsi="Times New Roman" w:cs="Times New Roman"/>
          <w:sz w:val="32"/>
          <w:szCs w:val="32"/>
        </w:rPr>
        <w:t>布局规划</w:t>
      </w:r>
    </w:p>
    <w:p w:rsidR="000065D8" w:rsidRDefault="000065D8">
      <w:pPr>
        <w:overflowPunct w:val="0"/>
        <w:jc w:val="center"/>
        <w:rPr>
          <w:rFonts w:ascii="Times New Roman" w:eastAsia="黑体" w:hAnsi="Times New Roman" w:cs="Times New Roman"/>
          <w:sz w:val="32"/>
          <w:szCs w:val="32"/>
        </w:rPr>
      </w:pP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十六</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特殊业态烟草制品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布局</w:t>
      </w:r>
      <w:r>
        <w:rPr>
          <w:rFonts w:ascii="Times New Roman" w:eastAsia="仿宋" w:hAnsi="Times New Roman" w:cs="Times New Roman"/>
          <w:kern w:val="0"/>
          <w:sz w:val="32"/>
          <w:szCs w:val="32"/>
        </w:rPr>
        <w:t>采用以下</w:t>
      </w:r>
      <w:r>
        <w:rPr>
          <w:rFonts w:ascii="Times New Roman" w:eastAsia="仿宋" w:hAnsi="Times New Roman" w:cs="Times New Roman"/>
          <w:sz w:val="32"/>
          <w:szCs w:val="32"/>
        </w:rPr>
        <w:t>标准</w:t>
      </w:r>
    </w:p>
    <w:p w:rsidR="000065D8" w:rsidRDefault="0008672C">
      <w:pPr>
        <w:numPr>
          <w:ilvl w:val="0"/>
          <w:numId w:val="2"/>
        </w:numPr>
        <w:overflowPunct w:val="0"/>
        <w:ind w:firstLineChars="200" w:firstLine="640"/>
        <w:rPr>
          <w:rFonts w:ascii="仿宋_GB2312" w:eastAsia="仿宋_GB2312" w:hAnsi="仿宋_GB2312" w:cs="仿宋_GB2312"/>
          <w:sz w:val="32"/>
          <w:szCs w:val="32"/>
        </w:rPr>
      </w:pPr>
      <w:r>
        <w:rPr>
          <w:rFonts w:ascii="Times New Roman" w:eastAsia="仿宋" w:hAnsi="Times New Roman" w:cs="Times New Roman"/>
          <w:sz w:val="32"/>
          <w:szCs w:val="32"/>
        </w:rPr>
        <w:t>辖区单元格内娱乐服务、其他类业态采用</w:t>
      </w:r>
      <w:r>
        <w:rPr>
          <w:rFonts w:ascii="Times New Roman" w:eastAsia="仿宋" w:hAnsi="Times New Roman" w:cs="Times New Roman" w:hint="eastAsia"/>
          <w:sz w:val="32"/>
          <w:szCs w:val="32"/>
        </w:rPr>
        <w:t>“距离”</w:t>
      </w:r>
      <w:r>
        <w:rPr>
          <w:rFonts w:ascii="仿宋_GB2312" w:eastAsia="仿宋_GB2312" w:hAnsi="仿宋_GB2312" w:cs="仿宋_GB2312" w:hint="eastAsia"/>
          <w:sz w:val="32"/>
          <w:szCs w:val="32"/>
        </w:rPr>
        <w:t>控制模式</w:t>
      </w:r>
      <w:r>
        <w:rPr>
          <w:rFonts w:ascii="仿宋_GB2312" w:eastAsia="仿宋_GB2312" w:hAnsi="仿宋_GB2312" w:cs="仿宋_GB2312" w:hint="eastAsia"/>
          <w:sz w:val="32"/>
          <w:szCs w:val="32"/>
        </w:rPr>
        <w:t>布局，</w:t>
      </w:r>
      <w:r>
        <w:rPr>
          <w:rFonts w:ascii="仿宋_GB2312" w:eastAsia="仿宋_GB2312" w:hAnsi="仿宋_GB2312" w:cs="仿宋_GB2312" w:hint="eastAsia"/>
          <w:sz w:val="32"/>
          <w:szCs w:val="32"/>
        </w:rPr>
        <w:t>零售点</w:t>
      </w:r>
      <w:r>
        <w:rPr>
          <w:rFonts w:ascii="仿宋_GB2312" w:eastAsia="仿宋_GB2312" w:hAnsi="仿宋_GB2312" w:cs="仿宋_GB2312" w:hint="eastAsia"/>
          <w:sz w:val="32"/>
          <w:szCs w:val="32"/>
        </w:rPr>
        <w:t>之间间距不得低于</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米</w:t>
      </w:r>
      <w:r>
        <w:rPr>
          <w:rFonts w:ascii="仿宋_GB2312" w:eastAsia="仿宋_GB2312" w:hAnsi="仿宋_GB2312" w:cs="仿宋_GB2312" w:hint="eastAsia"/>
          <w:sz w:val="32"/>
          <w:szCs w:val="32"/>
        </w:rPr>
        <w:t>，不受所属单元格数量限制</w:t>
      </w:r>
      <w:r>
        <w:rPr>
          <w:rFonts w:ascii="仿宋_GB2312" w:eastAsia="仿宋_GB2312" w:hAnsi="仿宋_GB2312" w:cs="仿宋_GB2312" w:hint="eastAsia"/>
          <w:sz w:val="32"/>
          <w:szCs w:val="32"/>
        </w:rPr>
        <w:t>。</w:t>
      </w:r>
    </w:p>
    <w:p w:rsidR="000065D8" w:rsidRDefault="0008672C">
      <w:pPr>
        <w:numPr>
          <w:ilvl w:val="0"/>
          <w:numId w:val="2"/>
        </w:numPr>
        <w:overflowPunct w:val="0"/>
        <w:ind w:firstLineChars="200" w:firstLine="620"/>
        <w:rPr>
          <w:rFonts w:ascii="仿宋_GB2312" w:eastAsia="仿宋_GB2312" w:hAnsi="仿宋_GB2312" w:cs="仿宋_GB2312"/>
          <w:sz w:val="32"/>
          <w:szCs w:val="32"/>
        </w:rPr>
      </w:pPr>
      <w:r>
        <w:rPr>
          <w:rFonts w:ascii="仿宋_GB2312" w:eastAsia="仿宋_GB2312" w:hAnsi="仿宋_GB2312" w:cs="仿宋_GB2312" w:hint="eastAsia"/>
          <w:kern w:val="0"/>
          <w:sz w:val="31"/>
          <w:szCs w:val="31"/>
        </w:rPr>
        <w:t>经营面积不低于</w:t>
      </w:r>
      <w:r>
        <w:rPr>
          <w:rFonts w:ascii="仿宋_GB2312" w:eastAsia="仿宋_GB2312" w:hAnsi="仿宋_GB2312" w:cs="仿宋_GB2312" w:hint="eastAsia"/>
          <w:kern w:val="0"/>
          <w:sz w:val="31"/>
          <w:szCs w:val="31"/>
        </w:rPr>
        <w:t>200</w:t>
      </w:r>
      <w:r>
        <w:rPr>
          <w:rFonts w:ascii="仿宋_GB2312" w:eastAsia="仿宋_GB2312" w:hAnsi="仿宋_GB2312" w:cs="仿宋_GB2312" w:hint="eastAsia"/>
          <w:kern w:val="0"/>
          <w:sz w:val="31"/>
          <w:szCs w:val="31"/>
        </w:rPr>
        <w:t>㎡的超市、不低于</w:t>
      </w:r>
      <w:r>
        <w:rPr>
          <w:rFonts w:ascii="仿宋_GB2312" w:eastAsia="仿宋_GB2312" w:hAnsi="仿宋_GB2312" w:cs="仿宋_GB2312" w:hint="eastAsia"/>
          <w:kern w:val="0"/>
          <w:sz w:val="31"/>
          <w:szCs w:val="31"/>
        </w:rPr>
        <w:t>2000</w:t>
      </w:r>
      <w:r>
        <w:rPr>
          <w:rFonts w:ascii="仿宋_GB2312" w:eastAsia="仿宋_GB2312" w:hAnsi="仿宋_GB2312" w:cs="仿宋_GB2312" w:hint="eastAsia"/>
          <w:kern w:val="0"/>
          <w:sz w:val="31"/>
          <w:szCs w:val="31"/>
        </w:rPr>
        <w:t>㎡的商场，</w:t>
      </w:r>
      <w:r>
        <w:rPr>
          <w:rFonts w:ascii="仿宋_GB2312" w:eastAsia="仿宋_GB2312" w:hAnsi="仿宋_GB2312" w:cs="仿宋_GB2312" w:hint="eastAsia"/>
          <w:kern w:val="0"/>
          <w:sz w:val="31"/>
          <w:szCs w:val="31"/>
        </w:rPr>
        <w:t>采取“距离”控制模式，</w:t>
      </w:r>
      <w:r>
        <w:rPr>
          <w:rFonts w:ascii="Times New Roman" w:eastAsia="仿宋_GB2312" w:hAnsi="Times New Roman" w:cs="Times New Roman" w:hint="eastAsia"/>
          <w:sz w:val="32"/>
          <w:szCs w:val="32"/>
        </w:rPr>
        <w:t>零售点间距须符合所属单元格标准，</w:t>
      </w:r>
      <w:r>
        <w:rPr>
          <w:rFonts w:ascii="Times New Roman" w:eastAsia="仿宋" w:hAnsi="Times New Roman" w:cs="Times New Roman"/>
          <w:sz w:val="32"/>
          <w:szCs w:val="32"/>
        </w:rPr>
        <w:t>不受</w:t>
      </w:r>
      <w:r>
        <w:rPr>
          <w:rFonts w:ascii="Times New Roman" w:eastAsia="仿宋" w:hAnsi="Times New Roman" w:cs="Times New Roman" w:hint="eastAsia"/>
          <w:sz w:val="32"/>
          <w:szCs w:val="32"/>
        </w:rPr>
        <w:t>所属</w:t>
      </w:r>
      <w:r>
        <w:rPr>
          <w:rFonts w:ascii="Times New Roman" w:eastAsia="仿宋" w:hAnsi="Times New Roman" w:cs="Times New Roman"/>
          <w:sz w:val="32"/>
          <w:szCs w:val="32"/>
        </w:rPr>
        <w:t>单元格</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限制</w:t>
      </w:r>
      <w:r>
        <w:rPr>
          <w:rFonts w:ascii="仿宋_GB2312" w:eastAsia="仿宋_GB2312" w:hAnsi="仿宋_GB2312" w:cs="仿宋_GB2312" w:hint="eastAsia"/>
          <w:sz w:val="32"/>
          <w:szCs w:val="32"/>
        </w:rPr>
        <w:t>。</w:t>
      </w:r>
    </w:p>
    <w:p w:rsidR="000065D8" w:rsidRDefault="000065D8" w:rsidP="007A3150">
      <w:pPr>
        <w:overflowPunct w:val="0"/>
        <w:ind w:leftChars="200" w:left="420"/>
        <w:rPr>
          <w:rFonts w:ascii="仿宋_GB2312" w:eastAsia="仿宋_GB2312" w:hAnsi="仿宋_GB2312" w:cs="仿宋_GB2312"/>
          <w:sz w:val="32"/>
          <w:szCs w:val="32"/>
        </w:rPr>
      </w:pPr>
    </w:p>
    <w:p w:rsidR="000065D8" w:rsidRDefault="0008672C">
      <w:pPr>
        <w:overflowPunct w:val="0"/>
        <w:jc w:val="center"/>
        <w:rPr>
          <w:rFonts w:ascii="Times New Roman" w:eastAsia="仿宋" w:hAnsi="Times New Roman" w:cs="Times New Roman"/>
          <w:b/>
          <w:bCs/>
          <w:sz w:val="32"/>
          <w:szCs w:val="32"/>
        </w:rPr>
      </w:pPr>
      <w:r>
        <w:rPr>
          <w:rFonts w:ascii="Times New Roman" w:eastAsia="黑体" w:hAnsi="Times New Roman" w:cs="Times New Roman"/>
          <w:sz w:val="32"/>
          <w:szCs w:val="32"/>
        </w:rPr>
        <w:t>第</w:t>
      </w:r>
      <w:r>
        <w:rPr>
          <w:rFonts w:ascii="Times New Roman" w:eastAsia="黑体" w:hAnsi="Times New Roman" w:cs="Times New Roman" w:hint="eastAsia"/>
          <w:sz w:val="32"/>
          <w:szCs w:val="32"/>
        </w:rPr>
        <w:t>七</w:t>
      </w:r>
      <w:r>
        <w:rPr>
          <w:rFonts w:ascii="Times New Roman" w:eastAsia="黑体" w:hAnsi="Times New Roman" w:cs="Times New Roman"/>
          <w:sz w:val="32"/>
          <w:szCs w:val="32"/>
        </w:rPr>
        <w:t>章</w:t>
      </w:r>
      <w:r>
        <w:rPr>
          <w:rFonts w:ascii="Times New Roman" w:eastAsia="黑体" w:hAnsi="Times New Roman" w:cs="Times New Roman"/>
          <w:sz w:val="32"/>
          <w:szCs w:val="32"/>
        </w:rPr>
        <w:t xml:space="preserve">  </w:t>
      </w:r>
      <w:r>
        <w:rPr>
          <w:rFonts w:ascii="Times New Roman" w:eastAsia="黑体" w:hAnsi="Times New Roman" w:cs="Times New Roman" w:hint="eastAsia"/>
          <w:sz w:val="32"/>
          <w:szCs w:val="32"/>
        </w:rPr>
        <w:t>雪茄烟零售点</w:t>
      </w:r>
      <w:r>
        <w:rPr>
          <w:rFonts w:ascii="Times New Roman" w:eastAsia="黑体" w:hAnsi="Times New Roman" w:cs="Times New Roman"/>
          <w:sz w:val="32"/>
          <w:szCs w:val="32"/>
        </w:rPr>
        <w:t>布局规划</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十七</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hint="eastAsia"/>
          <w:sz w:val="32"/>
          <w:szCs w:val="32"/>
        </w:rPr>
        <w:t>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布局采用以下标准</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（一）</w:t>
      </w:r>
      <w:r>
        <w:rPr>
          <w:rFonts w:ascii="Times New Roman" w:eastAsia="仿宋" w:hAnsi="Times New Roman" w:cs="Times New Roman" w:hint="eastAsia"/>
          <w:sz w:val="32"/>
          <w:szCs w:val="32"/>
        </w:rPr>
        <w:t>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指经营范围只包含雪茄烟本店零售的经营场所。雪茄烟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应有专门用于雪茄烟陈列、展示的设施，有能够恒定维持雪茄烟储存所需湿度、温度条件的设备设施，有满足雪茄烟品鉴条件的区域、工具及良好通风条件的品鉴环境。</w:t>
      </w:r>
    </w:p>
    <w:p w:rsidR="000065D8" w:rsidRDefault="007A3150">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（二）</w:t>
      </w:r>
      <w:r w:rsidR="0008672C">
        <w:rPr>
          <w:rFonts w:ascii="Times New Roman" w:eastAsia="仿宋" w:hAnsi="Times New Roman" w:cs="Times New Roman" w:hint="eastAsia"/>
          <w:sz w:val="32"/>
          <w:szCs w:val="32"/>
        </w:rPr>
        <w:t>雪茄烟</w:t>
      </w:r>
      <w:r w:rsidR="0008672C">
        <w:rPr>
          <w:rFonts w:ascii="Times New Roman" w:eastAsia="仿宋" w:hAnsi="Times New Roman" w:cs="Times New Roman" w:hint="eastAsia"/>
          <w:sz w:val="32"/>
          <w:szCs w:val="32"/>
        </w:rPr>
        <w:t>零售点</w:t>
      </w:r>
      <w:r w:rsidR="0008672C">
        <w:rPr>
          <w:rFonts w:ascii="Times New Roman" w:eastAsia="仿宋" w:hAnsi="Times New Roman" w:cs="Times New Roman" w:hint="eastAsia"/>
          <w:sz w:val="32"/>
          <w:szCs w:val="32"/>
        </w:rPr>
        <w:t>与其他卷烟、电子烟</w:t>
      </w:r>
      <w:r w:rsidR="0008672C">
        <w:rPr>
          <w:rFonts w:ascii="Times New Roman" w:eastAsia="仿宋" w:hAnsi="Times New Roman" w:cs="Times New Roman" w:hint="eastAsia"/>
          <w:sz w:val="32"/>
          <w:szCs w:val="32"/>
        </w:rPr>
        <w:t>零售点</w:t>
      </w:r>
      <w:r w:rsidR="0008672C">
        <w:rPr>
          <w:rFonts w:ascii="Times New Roman" w:eastAsia="仿宋" w:hAnsi="Times New Roman" w:cs="Times New Roman" w:hint="eastAsia"/>
          <w:sz w:val="32"/>
          <w:szCs w:val="32"/>
        </w:rPr>
        <w:t>互不作为布局参照。</w:t>
      </w:r>
      <w:r w:rsidR="0008672C">
        <w:rPr>
          <w:rFonts w:ascii="Times New Roman" w:eastAsia="仿宋" w:hAnsi="Times New Roman" w:cs="Times New Roman" w:hint="eastAsia"/>
          <w:sz w:val="32"/>
          <w:szCs w:val="32"/>
        </w:rPr>
        <w:t>井研县</w:t>
      </w:r>
      <w:r w:rsidR="0008672C">
        <w:rPr>
          <w:rFonts w:ascii="Times New Roman" w:eastAsia="仿宋" w:hAnsi="Times New Roman" w:cs="Times New Roman" w:hint="eastAsia"/>
          <w:sz w:val="32"/>
          <w:szCs w:val="32"/>
        </w:rPr>
        <w:t>烟草专卖局参考人口</w:t>
      </w:r>
      <w:r w:rsidR="0008672C">
        <w:rPr>
          <w:rFonts w:ascii="Times New Roman" w:eastAsia="仿宋" w:hAnsi="Times New Roman" w:cs="Times New Roman" w:hint="eastAsia"/>
          <w:sz w:val="32"/>
          <w:szCs w:val="32"/>
        </w:rPr>
        <w:t>数量</w:t>
      </w:r>
      <w:r w:rsidR="0008672C">
        <w:rPr>
          <w:rFonts w:ascii="Times New Roman" w:eastAsia="仿宋" w:hAnsi="Times New Roman" w:cs="Times New Roman" w:hint="eastAsia"/>
          <w:sz w:val="32"/>
          <w:szCs w:val="32"/>
        </w:rPr>
        <w:t>、市场特征、消费需求、合理利润等因素，对雪茄烟</w:t>
      </w:r>
      <w:r w:rsidR="0008672C">
        <w:rPr>
          <w:rFonts w:ascii="Times New Roman" w:eastAsia="仿宋" w:hAnsi="Times New Roman" w:cs="Times New Roman" w:hint="eastAsia"/>
          <w:sz w:val="32"/>
          <w:szCs w:val="32"/>
        </w:rPr>
        <w:t>零售点</w:t>
      </w:r>
      <w:r w:rsidR="0008672C">
        <w:rPr>
          <w:rFonts w:ascii="Times New Roman" w:eastAsia="仿宋" w:hAnsi="Times New Roman" w:cs="Times New Roman" w:hint="eastAsia"/>
          <w:sz w:val="32"/>
          <w:szCs w:val="32"/>
        </w:rPr>
        <w:t>的布局采取</w:t>
      </w:r>
      <w:r w:rsidR="0008672C">
        <w:rPr>
          <w:rFonts w:ascii="Times New Roman" w:eastAsia="仿宋" w:hAnsi="Times New Roman" w:cs="Times New Roman" w:hint="eastAsia"/>
          <w:sz w:val="32"/>
          <w:szCs w:val="32"/>
        </w:rPr>
        <w:t>“数量”控制模式</w:t>
      </w:r>
      <w:r w:rsidR="0008672C">
        <w:rPr>
          <w:rFonts w:ascii="Times New Roman" w:eastAsia="仿宋" w:hAnsi="Times New Roman" w:cs="Times New Roman" w:hint="eastAsia"/>
          <w:sz w:val="32"/>
          <w:szCs w:val="32"/>
        </w:rPr>
        <w:t>，设置区域指导</w:t>
      </w:r>
      <w:r w:rsidR="0008672C">
        <w:rPr>
          <w:rFonts w:ascii="Times New Roman" w:eastAsia="仿宋" w:hAnsi="Times New Roman" w:cs="Times New Roman" w:hint="eastAsia"/>
          <w:sz w:val="32"/>
          <w:szCs w:val="32"/>
        </w:rPr>
        <w:t>数量</w:t>
      </w:r>
      <w:r w:rsidR="0008672C">
        <w:rPr>
          <w:rFonts w:ascii="Times New Roman" w:eastAsia="仿宋" w:hAnsi="Times New Roman" w:cs="Times New Roman" w:hint="eastAsia"/>
          <w:sz w:val="32"/>
          <w:szCs w:val="32"/>
        </w:rPr>
        <w:t>。对机场、高铁站、旅游景区、特色商业街区、大型商场、购物中心、</w:t>
      </w:r>
      <w:r w:rsidR="0008672C">
        <w:rPr>
          <w:rFonts w:ascii="Times New Roman" w:eastAsia="仿宋" w:hAnsi="Times New Roman" w:cs="Times New Roman" w:hint="eastAsia"/>
          <w:sz w:val="32"/>
          <w:szCs w:val="32"/>
        </w:rPr>
        <w:lastRenderedPageBreak/>
        <w:t>星级宾馆等相对独立的市场单元，可以单独设置</w:t>
      </w:r>
      <w:r w:rsidR="0008672C">
        <w:rPr>
          <w:rFonts w:ascii="Times New Roman" w:eastAsia="仿宋" w:hAnsi="Times New Roman" w:cs="Times New Roman" w:hint="eastAsia"/>
          <w:sz w:val="32"/>
          <w:szCs w:val="32"/>
        </w:rPr>
        <w:t>一</w:t>
      </w:r>
      <w:r w:rsidR="0008672C">
        <w:rPr>
          <w:rFonts w:ascii="Times New Roman" w:eastAsia="仿宋" w:hAnsi="Times New Roman" w:cs="Times New Roman" w:hint="eastAsia"/>
          <w:sz w:val="32"/>
          <w:szCs w:val="32"/>
        </w:rPr>
        <w:t>个雪茄烟</w:t>
      </w:r>
      <w:r w:rsidR="0008672C">
        <w:rPr>
          <w:rFonts w:ascii="Times New Roman" w:eastAsia="仿宋" w:hAnsi="Times New Roman" w:cs="Times New Roman" w:hint="eastAsia"/>
          <w:sz w:val="32"/>
          <w:szCs w:val="32"/>
        </w:rPr>
        <w:t>零售点</w:t>
      </w:r>
      <w:r w:rsidR="0008672C">
        <w:rPr>
          <w:rFonts w:ascii="Times New Roman" w:eastAsia="仿宋" w:hAnsi="Times New Roman" w:cs="Times New Roman" w:hint="eastAsia"/>
          <w:sz w:val="32"/>
          <w:szCs w:val="32"/>
        </w:rPr>
        <w:t>，不受区域指导</w:t>
      </w:r>
      <w:r w:rsidR="0008672C">
        <w:rPr>
          <w:rFonts w:ascii="Times New Roman" w:eastAsia="仿宋" w:hAnsi="Times New Roman" w:cs="Times New Roman" w:hint="eastAsia"/>
          <w:sz w:val="32"/>
          <w:szCs w:val="32"/>
        </w:rPr>
        <w:t>数量</w:t>
      </w:r>
      <w:r w:rsidR="0008672C">
        <w:rPr>
          <w:rFonts w:ascii="Times New Roman" w:eastAsia="仿宋" w:hAnsi="Times New Roman" w:cs="Times New Roman" w:hint="eastAsia"/>
          <w:sz w:val="32"/>
          <w:szCs w:val="32"/>
        </w:rPr>
        <w:t>限制</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（三）</w:t>
      </w:r>
      <w:r>
        <w:rPr>
          <w:rFonts w:ascii="Times New Roman" w:eastAsia="仿宋" w:hAnsi="Times New Roman" w:cs="Times New Roman" w:hint="eastAsia"/>
          <w:sz w:val="32"/>
          <w:szCs w:val="32"/>
        </w:rPr>
        <w:t>井研县</w:t>
      </w:r>
      <w:r>
        <w:rPr>
          <w:rFonts w:ascii="Times New Roman" w:eastAsia="仿宋" w:hAnsi="Times New Roman" w:cs="Times New Roman" w:hint="eastAsia"/>
          <w:sz w:val="32"/>
          <w:szCs w:val="32"/>
        </w:rPr>
        <w:t>烟草专卖局可以根据雪茄烟市场需求、产业</w:t>
      </w:r>
      <w:r>
        <w:rPr>
          <w:rFonts w:ascii="Times New Roman" w:eastAsia="仿宋" w:hAnsi="Times New Roman" w:cs="Times New Roman" w:hint="eastAsia"/>
          <w:sz w:val="32"/>
          <w:szCs w:val="32"/>
        </w:rPr>
        <w:t>政策等变化情况，对雪茄烟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指导</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进行动态调整</w:t>
      </w:r>
      <w:r>
        <w:rPr>
          <w:rFonts w:ascii="Times New Roman" w:eastAsia="仿宋" w:hAnsi="Times New Roman" w:cs="Times New Roman" w:hint="eastAsia"/>
          <w:sz w:val="32"/>
          <w:szCs w:val="32"/>
        </w:rPr>
        <w:t>，调整应经科学测算、合理论证，广泛征求意见，单次调整幅度不超过</w:t>
      </w: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户</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经</w:t>
      </w:r>
      <w:r>
        <w:rPr>
          <w:rFonts w:ascii="Times New Roman" w:eastAsia="仿宋" w:hAnsi="Times New Roman" w:cs="Times New Roman" w:hint="eastAsia"/>
          <w:sz w:val="32"/>
          <w:szCs w:val="32"/>
        </w:rPr>
        <w:t>井研县人民政府官网</w:t>
      </w:r>
      <w:r>
        <w:rPr>
          <w:rFonts w:ascii="Times New Roman" w:eastAsia="仿宋" w:hAnsi="Times New Roman" w:cs="Times New Roman" w:hint="eastAsia"/>
          <w:sz w:val="32"/>
          <w:szCs w:val="32"/>
        </w:rPr>
        <w:t>公告</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日后实施。</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（四）</w:t>
      </w:r>
      <w:r>
        <w:rPr>
          <w:rFonts w:ascii="Times New Roman" w:eastAsia="仿宋" w:hAnsi="Times New Roman" w:cs="Times New Roman" w:hint="eastAsia"/>
          <w:sz w:val="32"/>
          <w:szCs w:val="32"/>
        </w:rPr>
        <w:t>根据雪茄烟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布局规划取得的许可证，如果申请许可范围变更的，需符合申请变更许可范围所对应的</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布局规划。</w:t>
      </w:r>
    </w:p>
    <w:p w:rsidR="000065D8" w:rsidRDefault="000065D8">
      <w:pPr>
        <w:overflowPunct w:val="0"/>
        <w:rPr>
          <w:rFonts w:ascii="Times New Roman" w:eastAsia="黑体" w:hAnsi="Times New Roman" w:cs="Times New Roman"/>
          <w:sz w:val="32"/>
          <w:szCs w:val="32"/>
        </w:rPr>
      </w:pPr>
    </w:p>
    <w:p w:rsidR="000065D8" w:rsidRDefault="0008672C">
      <w:pPr>
        <w:overflowPunct w:val="0"/>
        <w:jc w:val="center"/>
        <w:rPr>
          <w:rFonts w:ascii="Times New Roman" w:eastAsia="黑体" w:hAnsi="Times New Roman" w:cs="Times New Roman"/>
          <w:sz w:val="32"/>
          <w:szCs w:val="32"/>
        </w:rPr>
      </w:pPr>
      <w:r>
        <w:rPr>
          <w:rFonts w:ascii="Times New Roman" w:eastAsia="黑体" w:hAnsi="Times New Roman" w:cs="Times New Roman" w:hint="eastAsia"/>
          <w:sz w:val="32"/>
          <w:szCs w:val="32"/>
        </w:rPr>
        <w:t>第八章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特殊情形</w:t>
      </w:r>
      <w:r>
        <w:rPr>
          <w:rFonts w:ascii="Times New Roman" w:eastAsia="黑体" w:hAnsi="Times New Roman" w:cs="Times New Roman" w:hint="eastAsia"/>
          <w:sz w:val="32"/>
          <w:szCs w:val="32"/>
        </w:rPr>
        <w:t>零售点</w:t>
      </w:r>
      <w:r>
        <w:rPr>
          <w:rFonts w:ascii="Times New Roman" w:eastAsia="黑体" w:hAnsi="Times New Roman" w:cs="Times New Roman"/>
          <w:sz w:val="32"/>
          <w:szCs w:val="32"/>
        </w:rPr>
        <w:t>布局规划</w:t>
      </w:r>
    </w:p>
    <w:p w:rsidR="000065D8" w:rsidRDefault="000065D8">
      <w:pPr>
        <w:overflowPunct w:val="0"/>
        <w:jc w:val="center"/>
        <w:rPr>
          <w:rFonts w:ascii="Times New Roman" w:eastAsia="黑体" w:hAnsi="Times New Roman" w:cs="Times New Roman"/>
          <w:sz w:val="32"/>
          <w:szCs w:val="32"/>
        </w:rPr>
      </w:pP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十八</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属于下列特殊情形之一的，</w:t>
      </w:r>
      <w:r>
        <w:rPr>
          <w:rFonts w:ascii="Times New Roman" w:eastAsia="仿宋" w:hAnsi="Times New Roman" w:cs="Times New Roman"/>
          <w:kern w:val="0"/>
          <w:sz w:val="32"/>
          <w:szCs w:val="32"/>
        </w:rPr>
        <w:t>采用以下标准</w:t>
      </w:r>
      <w:r>
        <w:rPr>
          <w:rFonts w:ascii="Times New Roman" w:eastAsia="仿宋" w:hAnsi="Times New Roman" w:cs="Times New Roman"/>
          <w:sz w:val="32"/>
          <w:szCs w:val="32"/>
        </w:rPr>
        <w:t>：</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_GB2312" w:hAnsi="Times New Roman" w:cs="Times New Roman"/>
          <w:sz w:val="32"/>
          <w:szCs w:val="32"/>
        </w:rPr>
        <w:t>申请人为</w:t>
      </w:r>
      <w:r>
        <w:rPr>
          <w:rFonts w:ascii="Times New Roman" w:eastAsia="仿宋_GB2312" w:hAnsi="Times New Roman" w:cs="Times New Roman" w:hint="eastAsia"/>
          <w:sz w:val="32"/>
          <w:szCs w:val="32"/>
        </w:rPr>
        <w:t>个体工商户，且属于</w:t>
      </w:r>
      <w:r>
        <w:rPr>
          <w:rFonts w:ascii="Times New Roman" w:eastAsia="仿宋_GB2312" w:hAnsi="Times New Roman" w:cs="Times New Roman"/>
          <w:sz w:val="32"/>
          <w:szCs w:val="32"/>
        </w:rPr>
        <w:t>视力残疾的一级盲、二级盲，听力残疾的一、二、三级，言语残疾的一、二、三级，肢体残疾的重度（一级）、中度（二级），</w:t>
      </w:r>
      <w:r>
        <w:rPr>
          <w:rFonts w:ascii="Times New Roman" w:eastAsia="仿宋_GB2312" w:hAnsi="Times New Roman" w:cs="Times New Roman" w:hint="eastAsia"/>
          <w:sz w:val="32"/>
          <w:szCs w:val="32"/>
        </w:rPr>
        <w:t>需</w:t>
      </w:r>
      <w:r>
        <w:rPr>
          <w:rFonts w:ascii="Times New Roman" w:eastAsia="仿宋" w:hAnsi="Times New Roman" w:cs="Times New Roman" w:hint="eastAsia"/>
          <w:sz w:val="32"/>
          <w:szCs w:val="32"/>
        </w:rPr>
        <w:t>持有相关部门核发证明，经核实后</w:t>
      </w:r>
      <w:r>
        <w:rPr>
          <w:rFonts w:ascii="Times New Roman" w:eastAsia="仿宋_GB2312" w:hAnsi="Times New Roman" w:cs="Times New Roman" w:hint="eastAsia"/>
          <w:sz w:val="32"/>
          <w:szCs w:val="32"/>
        </w:rPr>
        <w:t>采取“距离”控制模式，零售点间距须符合所属单元格标准，</w:t>
      </w:r>
      <w:r>
        <w:rPr>
          <w:rFonts w:ascii="Times New Roman" w:eastAsia="仿宋" w:hAnsi="Times New Roman" w:cs="Times New Roman" w:hint="eastAsia"/>
          <w:sz w:val="32"/>
          <w:szCs w:val="32"/>
        </w:rPr>
        <w:t>不受所属单元格数量</w:t>
      </w:r>
      <w:r>
        <w:rPr>
          <w:rFonts w:ascii="Times New Roman" w:eastAsia="仿宋" w:hAnsi="Times New Roman" w:cs="Times New Roman"/>
          <w:sz w:val="32"/>
          <w:szCs w:val="32"/>
        </w:rPr>
        <w:t>限制</w:t>
      </w:r>
      <w:r>
        <w:rPr>
          <w:rFonts w:ascii="Times New Roman" w:eastAsia="仿宋" w:hAnsi="Times New Roman" w:cs="Times New Roman" w:hint="eastAsia"/>
          <w:sz w:val="32"/>
          <w:szCs w:val="32"/>
        </w:rPr>
        <w:t>。</w:t>
      </w:r>
      <w:r>
        <w:rPr>
          <w:rFonts w:ascii="Times New Roman" w:eastAsia="仿宋" w:hAnsi="Times New Roman" w:cs="Times New Roman"/>
          <w:sz w:val="32"/>
          <w:szCs w:val="32"/>
        </w:rPr>
        <w:t>以上残疾类型的其他等级不予优待</w:t>
      </w:r>
      <w:r>
        <w:rPr>
          <w:rFonts w:ascii="Times New Roman" w:eastAsia="仿宋" w:hAnsi="Times New Roman" w:cs="Times New Roman" w:hint="eastAsia"/>
          <w:sz w:val="32"/>
          <w:szCs w:val="32"/>
        </w:rPr>
        <w:t>。</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烈士家属、因公牺牲军警家属</w:t>
      </w:r>
      <w:r>
        <w:rPr>
          <w:rFonts w:ascii="Times New Roman" w:eastAsia="仿宋" w:hAnsi="Times New Roman" w:cs="Times New Roman" w:hint="eastAsia"/>
          <w:sz w:val="32"/>
          <w:szCs w:val="32"/>
        </w:rPr>
        <w:t>，需持有相关部门核发证明，经核实后采取</w:t>
      </w:r>
      <w:r>
        <w:rPr>
          <w:rFonts w:ascii="Times New Roman" w:eastAsia="仿宋_GB2312" w:hAnsi="Times New Roman" w:cs="Times New Roman" w:hint="eastAsia"/>
          <w:sz w:val="32"/>
          <w:szCs w:val="32"/>
        </w:rPr>
        <w:t>“距离”控制模式，零售点间</w:t>
      </w:r>
      <w:r>
        <w:rPr>
          <w:rFonts w:ascii="Times New Roman" w:eastAsia="仿宋_GB2312" w:hAnsi="Times New Roman" w:cs="Times New Roman" w:hint="eastAsia"/>
          <w:sz w:val="32"/>
          <w:szCs w:val="32"/>
        </w:rPr>
        <w:lastRenderedPageBreak/>
        <w:t>距须符合所属单元格标准，</w:t>
      </w:r>
      <w:r>
        <w:rPr>
          <w:rFonts w:ascii="Times New Roman" w:eastAsia="仿宋" w:hAnsi="Times New Roman" w:cs="Times New Roman" w:hint="eastAsia"/>
          <w:sz w:val="32"/>
          <w:szCs w:val="32"/>
        </w:rPr>
        <w:t>不受所属单元格数量</w:t>
      </w:r>
      <w:r>
        <w:rPr>
          <w:rFonts w:ascii="Times New Roman" w:eastAsia="仿宋" w:hAnsi="Times New Roman" w:cs="Times New Roman"/>
          <w:sz w:val="32"/>
          <w:szCs w:val="32"/>
        </w:rPr>
        <w:t>限制</w:t>
      </w:r>
      <w:r>
        <w:rPr>
          <w:rFonts w:ascii="Times New Roman" w:eastAsia="仿宋_GB2312" w:hAnsi="Times New Roman" w:cs="Times New Roman" w:hint="eastAsia"/>
          <w:sz w:val="32"/>
          <w:szCs w:val="32"/>
        </w:rPr>
        <w:t>。</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 w:hAnsi="Times New Roman" w:cs="Times New Roman"/>
          <w:sz w:val="32"/>
          <w:szCs w:val="32"/>
        </w:rPr>
        <w:t>残疾军人</w:t>
      </w:r>
      <w:r>
        <w:rPr>
          <w:rFonts w:ascii="Times New Roman" w:eastAsia="仿宋" w:hAnsi="Times New Roman" w:cs="Times New Roman" w:hint="eastAsia"/>
          <w:sz w:val="32"/>
          <w:szCs w:val="32"/>
        </w:rPr>
        <w:t>，需</w:t>
      </w:r>
      <w:r>
        <w:rPr>
          <w:rFonts w:ascii="Times New Roman" w:eastAsia="仿宋" w:hAnsi="Times New Roman" w:cs="Times New Roman" w:hint="eastAsia"/>
          <w:sz w:val="32"/>
          <w:szCs w:val="32"/>
        </w:rPr>
        <w:t>持有相关部门核发证明</w:t>
      </w:r>
      <w:r>
        <w:rPr>
          <w:rFonts w:ascii="Times New Roman" w:eastAsia="仿宋" w:hAnsi="Times New Roman" w:cs="Times New Roman"/>
          <w:sz w:val="32"/>
          <w:szCs w:val="32"/>
        </w:rPr>
        <w:t>，实际经营者必须为其本人或其直系亲属（仅限配偶、父母、子女）</w:t>
      </w:r>
      <w:r>
        <w:rPr>
          <w:rFonts w:ascii="Times New Roman" w:eastAsia="仿宋" w:hAnsi="Times New Roman" w:cs="Times New Roman" w:hint="eastAsia"/>
          <w:sz w:val="32"/>
          <w:szCs w:val="32"/>
        </w:rPr>
        <w:t>，经核实后采取“</w:t>
      </w:r>
      <w:r>
        <w:rPr>
          <w:rFonts w:ascii="Times New Roman" w:eastAsia="仿宋" w:hAnsi="Times New Roman" w:cs="Times New Roman" w:hint="eastAsia"/>
          <w:sz w:val="32"/>
          <w:szCs w:val="32"/>
        </w:rPr>
        <w:t>距离</w:t>
      </w:r>
      <w:r>
        <w:rPr>
          <w:rFonts w:ascii="Times New Roman" w:eastAsia="仿宋" w:hAnsi="Times New Roman" w:cs="Times New Roman" w:hint="eastAsia"/>
          <w:sz w:val="32"/>
          <w:szCs w:val="32"/>
        </w:rPr>
        <w:t>”控制模式，</w:t>
      </w:r>
      <w:r>
        <w:rPr>
          <w:rFonts w:ascii="Times New Roman" w:eastAsia="仿宋_GB2312" w:hAnsi="Times New Roman" w:cs="Times New Roman" w:hint="eastAsia"/>
          <w:sz w:val="32"/>
          <w:szCs w:val="32"/>
        </w:rPr>
        <w:t>零售点间距须符合所属单元格标准，</w:t>
      </w:r>
      <w:r>
        <w:rPr>
          <w:rFonts w:ascii="Times New Roman" w:eastAsia="仿宋" w:hAnsi="Times New Roman" w:cs="Times New Roman" w:hint="eastAsia"/>
          <w:sz w:val="32"/>
          <w:szCs w:val="32"/>
        </w:rPr>
        <w:t>不受所属单元格数量</w:t>
      </w:r>
      <w:r>
        <w:rPr>
          <w:rFonts w:ascii="Times New Roman" w:eastAsia="仿宋" w:hAnsi="Times New Roman" w:cs="Times New Roman"/>
          <w:sz w:val="32"/>
          <w:szCs w:val="32"/>
        </w:rPr>
        <w:t>限制</w:t>
      </w:r>
      <w:r>
        <w:rPr>
          <w:rFonts w:ascii="Times New Roman" w:eastAsia="仿宋_GB2312" w:hAnsi="Times New Roman" w:cs="Times New Roman" w:hint="eastAsia"/>
          <w:sz w:val="32"/>
          <w:szCs w:val="32"/>
        </w:rPr>
        <w:t>。</w:t>
      </w:r>
      <w:r>
        <w:rPr>
          <w:rFonts w:ascii="Times New Roman" w:eastAsia="仿宋" w:hAnsi="Times New Roman" w:cs="Times New Roman"/>
          <w:sz w:val="32"/>
          <w:szCs w:val="32"/>
        </w:rPr>
        <w:t>退役军人，</w:t>
      </w:r>
      <w:r>
        <w:rPr>
          <w:rFonts w:ascii="Times New Roman" w:eastAsia="仿宋" w:hAnsi="Times New Roman" w:cs="Times New Roman" w:hint="eastAsia"/>
          <w:sz w:val="32"/>
          <w:szCs w:val="32"/>
        </w:rPr>
        <w:t>需</w:t>
      </w:r>
      <w:r>
        <w:rPr>
          <w:rFonts w:ascii="Times New Roman" w:eastAsia="仿宋" w:hAnsi="Times New Roman" w:cs="Times New Roman" w:hint="eastAsia"/>
          <w:sz w:val="32"/>
          <w:szCs w:val="32"/>
        </w:rPr>
        <w:t>持有相关部门核发证明，</w:t>
      </w:r>
      <w:r>
        <w:rPr>
          <w:rFonts w:ascii="Times New Roman" w:eastAsia="仿宋" w:hAnsi="Times New Roman" w:cs="Times New Roman"/>
          <w:sz w:val="32"/>
          <w:szCs w:val="32"/>
        </w:rPr>
        <w:t>实际经营者必须为其本人，</w:t>
      </w:r>
      <w:r>
        <w:rPr>
          <w:rFonts w:ascii="Times New Roman" w:eastAsia="仿宋" w:hAnsi="Times New Roman" w:cs="Times New Roman" w:hint="eastAsia"/>
          <w:sz w:val="32"/>
          <w:szCs w:val="32"/>
        </w:rPr>
        <w:t>经核实后采取“数量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w:t>
      </w:r>
      <w:r>
        <w:rPr>
          <w:rFonts w:ascii="Times New Roman" w:eastAsia="仿宋" w:hAnsi="Times New Roman" w:cs="Times New Roman" w:hint="eastAsia"/>
          <w:sz w:val="32"/>
          <w:szCs w:val="32"/>
        </w:rPr>
        <w:t>”控制模式，零售点</w:t>
      </w:r>
      <w:r>
        <w:rPr>
          <w:rFonts w:ascii="Times New Roman" w:eastAsia="仿宋" w:hAnsi="Times New Roman" w:cs="Times New Roman"/>
          <w:sz w:val="32"/>
          <w:szCs w:val="32"/>
        </w:rPr>
        <w:t>间距可在</w:t>
      </w:r>
      <w:r>
        <w:rPr>
          <w:rFonts w:ascii="Times New Roman" w:eastAsia="仿宋" w:hAnsi="Times New Roman" w:cs="Times New Roman" w:hint="eastAsia"/>
          <w:sz w:val="32"/>
          <w:szCs w:val="32"/>
        </w:rPr>
        <w:t>所属</w:t>
      </w:r>
      <w:r>
        <w:rPr>
          <w:rFonts w:ascii="Times New Roman" w:eastAsia="仿宋" w:hAnsi="Times New Roman" w:cs="Times New Roman"/>
          <w:sz w:val="32"/>
          <w:szCs w:val="32"/>
        </w:rPr>
        <w:t>单元格间距标准的基础上减少</w:t>
      </w:r>
      <w:r>
        <w:rPr>
          <w:rFonts w:ascii="Times New Roman" w:eastAsia="仿宋" w:hAnsi="Times New Roman" w:cs="Times New Roman" w:hint="eastAsia"/>
          <w:sz w:val="32"/>
          <w:szCs w:val="32"/>
        </w:rPr>
        <w:t>5</w:t>
      </w:r>
      <w:r>
        <w:rPr>
          <w:rFonts w:ascii="Times New Roman" w:eastAsia="仿宋" w:hAnsi="Times New Roman" w:cs="Times New Roman"/>
          <w:sz w:val="32"/>
          <w:szCs w:val="32"/>
        </w:rPr>
        <w:t>米，</w:t>
      </w:r>
      <w:r>
        <w:rPr>
          <w:rFonts w:ascii="Times New Roman" w:eastAsia="仿宋" w:hAnsi="Times New Roman" w:cs="Times New Roman" w:hint="eastAsia"/>
          <w:sz w:val="32"/>
          <w:szCs w:val="32"/>
        </w:rPr>
        <w:t>受所属单元格数量限制。</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政府招商引资的重点企业</w:t>
      </w:r>
      <w:r>
        <w:rPr>
          <w:rFonts w:ascii="Times New Roman" w:eastAsia="仿宋" w:hAnsi="Times New Roman" w:cs="Times New Roman" w:hint="eastAsia"/>
          <w:sz w:val="32"/>
          <w:szCs w:val="32"/>
        </w:rPr>
        <w:t>、乡村振兴等项目，政策帮扶对象，集体经济</w:t>
      </w:r>
      <w:r>
        <w:rPr>
          <w:rFonts w:ascii="Times New Roman" w:eastAsia="仿宋" w:hAnsi="Times New Roman" w:cs="Times New Roman" w:hint="eastAsia"/>
          <w:sz w:val="32"/>
          <w:szCs w:val="32"/>
        </w:rPr>
        <w:t>等优待群体</w:t>
      </w:r>
      <w:r>
        <w:rPr>
          <w:rFonts w:ascii="Times New Roman" w:eastAsia="仿宋" w:hAnsi="Times New Roman" w:cs="Times New Roman" w:hint="eastAsia"/>
          <w:sz w:val="32"/>
          <w:szCs w:val="32"/>
        </w:rPr>
        <w:t>，需持有政府开具的有效证明，实际经营者必须为其本人，经核实后采取</w:t>
      </w:r>
      <w:r>
        <w:rPr>
          <w:rFonts w:ascii="Times New Roman" w:eastAsia="仿宋_GB2312" w:hAnsi="Times New Roman" w:cs="Times New Roman" w:hint="eastAsia"/>
          <w:sz w:val="32"/>
          <w:szCs w:val="32"/>
        </w:rPr>
        <w:t>“距离”控制模式，零售点间距须符合所属单元格标准，</w:t>
      </w:r>
      <w:r>
        <w:rPr>
          <w:rFonts w:ascii="Times New Roman" w:eastAsia="仿宋" w:hAnsi="Times New Roman" w:cs="Times New Roman" w:hint="eastAsia"/>
          <w:sz w:val="32"/>
          <w:szCs w:val="32"/>
        </w:rPr>
        <w:t>不受所属单元格数量</w:t>
      </w:r>
      <w:r>
        <w:rPr>
          <w:rFonts w:ascii="Times New Roman" w:eastAsia="仿宋" w:hAnsi="Times New Roman" w:cs="Times New Roman"/>
          <w:sz w:val="32"/>
          <w:szCs w:val="32"/>
        </w:rPr>
        <w:t>限制</w:t>
      </w:r>
      <w:r>
        <w:rPr>
          <w:rFonts w:ascii="Times New Roman" w:eastAsia="仿宋_GB2312" w:hAnsi="Times New Roman" w:cs="Times New Roman" w:hint="eastAsia"/>
          <w:sz w:val="32"/>
          <w:szCs w:val="32"/>
        </w:rPr>
        <w:t>。</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 w:hAnsi="Times New Roman" w:cs="Times New Roman"/>
          <w:sz w:val="32"/>
          <w:szCs w:val="32"/>
        </w:rPr>
        <w:t>因道路规划、城市建设等客观原因造成无法在核定经营地址经营，或者因中小学、幼儿园新建、搬迁、通道改变等客观原因导致原许可证处于中小学、幼儿园周围范围内无法在原核定地址经营，</w:t>
      </w:r>
      <w:r>
        <w:rPr>
          <w:rFonts w:ascii="Times New Roman" w:eastAsia="仿宋" w:hAnsi="Times New Roman" w:cs="Times New Roman" w:hint="eastAsia"/>
          <w:sz w:val="32"/>
          <w:szCs w:val="32"/>
        </w:rPr>
        <w:t>在许可证有效期内，</w:t>
      </w:r>
      <w:r>
        <w:rPr>
          <w:rFonts w:ascii="Times New Roman" w:eastAsia="仿宋" w:hAnsi="Times New Roman" w:cs="Times New Roman"/>
          <w:sz w:val="32"/>
          <w:szCs w:val="32"/>
        </w:rPr>
        <w:t>持证人申请变更到辖区内其他地址经营的，</w:t>
      </w:r>
      <w:r>
        <w:rPr>
          <w:rFonts w:ascii="Times New Roman" w:eastAsia="仿宋" w:hAnsi="Times New Roman" w:cs="Times New Roman" w:hint="eastAsia"/>
          <w:sz w:val="32"/>
          <w:szCs w:val="32"/>
        </w:rPr>
        <w:t>或自愿在许可证有效期内自愿歇业之日起六个月，在辖区内</w:t>
      </w:r>
      <w:r>
        <w:rPr>
          <w:rFonts w:ascii="Times New Roman" w:eastAsia="仿宋" w:hAnsi="Times New Roman" w:cs="Times New Roman"/>
          <w:sz w:val="32"/>
          <w:szCs w:val="32"/>
        </w:rPr>
        <w:t>其他地址</w:t>
      </w:r>
      <w:r>
        <w:rPr>
          <w:rFonts w:ascii="Times New Roman" w:eastAsia="仿宋" w:hAnsi="Times New Roman" w:cs="Times New Roman" w:hint="eastAsia"/>
          <w:sz w:val="32"/>
          <w:szCs w:val="32"/>
        </w:rPr>
        <w:t>新办许可证的，不受所属单元格数量限制，零售点</w:t>
      </w:r>
      <w:r>
        <w:rPr>
          <w:rFonts w:ascii="Times New Roman" w:eastAsia="仿宋" w:hAnsi="Times New Roman" w:cs="Times New Roman"/>
          <w:sz w:val="32"/>
          <w:szCs w:val="32"/>
        </w:rPr>
        <w:t>间距可在</w:t>
      </w:r>
      <w:r>
        <w:rPr>
          <w:rFonts w:ascii="Times New Roman" w:eastAsia="仿宋" w:hAnsi="Times New Roman" w:cs="Times New Roman" w:hint="eastAsia"/>
          <w:sz w:val="32"/>
          <w:szCs w:val="32"/>
        </w:rPr>
        <w:t>所属</w:t>
      </w:r>
      <w:r>
        <w:rPr>
          <w:rFonts w:ascii="Times New Roman" w:eastAsia="仿宋" w:hAnsi="Times New Roman" w:cs="Times New Roman"/>
          <w:sz w:val="32"/>
          <w:szCs w:val="32"/>
        </w:rPr>
        <w:t>单元格间距标准的基础上减少</w:t>
      </w:r>
      <w:r>
        <w:rPr>
          <w:rFonts w:ascii="Times New Roman" w:eastAsia="仿宋" w:hAnsi="Times New Roman" w:cs="Times New Roman" w:hint="eastAsia"/>
          <w:sz w:val="32"/>
          <w:szCs w:val="32"/>
        </w:rPr>
        <w:t>5</w:t>
      </w:r>
      <w:r>
        <w:rPr>
          <w:rFonts w:ascii="Times New Roman" w:eastAsia="仿宋" w:hAnsi="Times New Roman" w:cs="Times New Roman"/>
          <w:sz w:val="32"/>
          <w:szCs w:val="32"/>
        </w:rPr>
        <w:t>米，实际经营者必须为本</w:t>
      </w:r>
      <w:r>
        <w:rPr>
          <w:rFonts w:ascii="Times New Roman" w:eastAsia="仿宋" w:hAnsi="Times New Roman" w:cs="Times New Roman"/>
          <w:sz w:val="32"/>
          <w:szCs w:val="32"/>
        </w:rPr>
        <w:lastRenderedPageBreak/>
        <w:t>人或其家庭成员（家庭成员限于营业执照备案的共</w:t>
      </w:r>
      <w:r>
        <w:rPr>
          <w:rFonts w:ascii="Times New Roman" w:eastAsia="仿宋" w:hAnsi="Times New Roman" w:cs="Times New Roman"/>
          <w:sz w:val="32"/>
          <w:szCs w:val="32"/>
        </w:rPr>
        <w:t>同经营家庭成员范围）</w:t>
      </w:r>
      <w:r>
        <w:rPr>
          <w:rFonts w:ascii="Times New Roman" w:eastAsia="仿宋" w:hAnsi="Times New Roman" w:cs="Times New Roman" w:hint="eastAsia"/>
          <w:sz w:val="32"/>
          <w:szCs w:val="32"/>
        </w:rPr>
        <w:t>。</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以上客观原因消除后，</w:t>
      </w:r>
      <w:r>
        <w:rPr>
          <w:rFonts w:ascii="Times New Roman" w:eastAsia="仿宋_GB2312" w:hAnsi="Times New Roman" w:cs="Times New Roman"/>
          <w:sz w:val="32"/>
          <w:szCs w:val="32"/>
        </w:rPr>
        <w:t>持证人对新许可证申请歇业的同时在原核定经营地址申请新办的，</w:t>
      </w:r>
      <w:r>
        <w:rPr>
          <w:rFonts w:ascii="Times New Roman" w:eastAsia="仿宋_GB2312" w:hAnsi="Times New Roman" w:cs="Times New Roman" w:hint="eastAsia"/>
          <w:sz w:val="32"/>
          <w:szCs w:val="32"/>
        </w:rPr>
        <w:t>采取“距离”控制模式，零售点间距需符合所属单元格标准</w:t>
      </w:r>
      <w:r>
        <w:rPr>
          <w:rFonts w:ascii="Times New Roman" w:eastAsia="仿宋_GB2312" w:hAnsi="Times New Roman" w:cs="Times New Roman" w:hint="eastAsia"/>
          <w:sz w:val="32"/>
          <w:szCs w:val="32"/>
        </w:rPr>
        <w:t>，不</w:t>
      </w:r>
      <w:r>
        <w:rPr>
          <w:rFonts w:ascii="Times New Roman" w:eastAsia="仿宋" w:hAnsi="Times New Roman" w:cs="Times New Roman"/>
          <w:sz w:val="32"/>
          <w:szCs w:val="32"/>
        </w:rPr>
        <w:t>受</w:t>
      </w:r>
      <w:r>
        <w:rPr>
          <w:rFonts w:ascii="Times New Roman" w:eastAsia="仿宋" w:hAnsi="Times New Roman" w:cs="Times New Roman" w:hint="eastAsia"/>
          <w:sz w:val="32"/>
          <w:szCs w:val="32"/>
        </w:rPr>
        <w:t>所属</w:t>
      </w:r>
      <w:r>
        <w:rPr>
          <w:rFonts w:ascii="Times New Roman" w:eastAsia="仿宋" w:hAnsi="Times New Roman" w:cs="Times New Roman"/>
          <w:sz w:val="32"/>
          <w:szCs w:val="32"/>
        </w:rPr>
        <w:t>单元格</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限制</w:t>
      </w:r>
      <w:r>
        <w:rPr>
          <w:rFonts w:ascii="Times New Roman" w:eastAsia="仿宋" w:hAnsi="Times New Roman" w:cs="Times New Roman" w:hint="eastAsia"/>
          <w:sz w:val="32"/>
          <w:szCs w:val="32"/>
        </w:rPr>
        <w:t>，</w:t>
      </w:r>
      <w:r>
        <w:rPr>
          <w:rFonts w:ascii="Times New Roman" w:eastAsia="仿宋" w:hAnsi="Times New Roman" w:cs="Times New Roman"/>
          <w:sz w:val="32"/>
          <w:szCs w:val="32"/>
        </w:rPr>
        <w:t>实际经营者必须为本人或其家庭成员（家庭成员限于营业执照备案的共同经营的家庭成员范围）。</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辖区内新建成的“烟火</w:t>
      </w:r>
      <w:r>
        <w:rPr>
          <w:rFonts w:ascii="Times New Roman" w:eastAsia="仿宋" w:hAnsi="Times New Roman" w:cs="Times New Roman" w:hint="eastAsia"/>
          <w:sz w:val="32"/>
          <w:szCs w:val="32"/>
        </w:rPr>
        <w:t>火</w:t>
      </w:r>
      <w:r>
        <w:rPr>
          <w:rFonts w:ascii="Times New Roman" w:eastAsia="仿宋" w:hAnsi="Times New Roman" w:cs="Times New Roman" w:hint="eastAsia"/>
          <w:sz w:val="32"/>
          <w:szCs w:val="32"/>
        </w:rPr>
        <w:t>”红色驿站初次申请办理许可证的，</w:t>
      </w:r>
      <w:r>
        <w:rPr>
          <w:rFonts w:ascii="Times New Roman" w:eastAsia="仿宋_GB2312" w:hAnsi="Times New Roman" w:cs="Times New Roman" w:hint="eastAsia"/>
          <w:sz w:val="32"/>
          <w:szCs w:val="32"/>
        </w:rPr>
        <w:t>采取“距离”控制模式，零售点间距需符合所属单元格标准</w:t>
      </w:r>
      <w:r>
        <w:rPr>
          <w:rFonts w:ascii="Times New Roman" w:eastAsia="仿宋" w:hAnsi="Times New Roman" w:cs="Times New Roman" w:hint="eastAsia"/>
          <w:sz w:val="32"/>
          <w:szCs w:val="32"/>
        </w:rPr>
        <w:t>，不受</w:t>
      </w:r>
      <w:r>
        <w:rPr>
          <w:rFonts w:ascii="Times New Roman" w:eastAsia="仿宋" w:hAnsi="Times New Roman" w:cs="Times New Roman" w:hint="eastAsia"/>
          <w:sz w:val="32"/>
          <w:szCs w:val="32"/>
        </w:rPr>
        <w:t>所属单元格数量</w:t>
      </w:r>
      <w:r>
        <w:rPr>
          <w:rFonts w:ascii="Times New Roman" w:eastAsia="仿宋" w:hAnsi="Times New Roman" w:cs="Times New Roman" w:hint="eastAsia"/>
          <w:sz w:val="32"/>
          <w:szCs w:val="32"/>
        </w:rPr>
        <w:t>限制。</w:t>
      </w:r>
    </w:p>
    <w:p w:rsidR="000065D8" w:rsidRDefault="0008672C">
      <w:pPr>
        <w:numPr>
          <w:ilvl w:val="0"/>
          <w:numId w:val="3"/>
        </w:numPr>
        <w:overflowPunct w:val="0"/>
        <w:ind w:firstLine="640"/>
        <w:rPr>
          <w:rFonts w:ascii="Times New Roman" w:eastAsia="仿宋" w:hAnsi="Times New Roman" w:cs="Times New Roman"/>
          <w:sz w:val="32"/>
          <w:szCs w:val="32"/>
        </w:rPr>
      </w:pPr>
      <w:r>
        <w:rPr>
          <w:rFonts w:ascii="Times New Roman" w:eastAsia="仿宋" w:hAnsi="Times New Roman" w:cs="Times New Roman"/>
          <w:sz w:val="32"/>
          <w:szCs w:val="32"/>
        </w:rPr>
        <w:t>同一申请人在</w:t>
      </w:r>
      <w:r>
        <w:rPr>
          <w:rFonts w:ascii="Times New Roman" w:eastAsia="仿宋" w:hAnsi="Times New Roman" w:cs="Times New Roman" w:hint="eastAsia"/>
          <w:sz w:val="32"/>
          <w:szCs w:val="32"/>
        </w:rPr>
        <w:t>井研县</w:t>
      </w:r>
      <w:r>
        <w:rPr>
          <w:rFonts w:ascii="Times New Roman" w:eastAsia="仿宋" w:hAnsi="Times New Roman" w:cs="Times New Roman"/>
          <w:sz w:val="32"/>
          <w:szCs w:val="32"/>
        </w:rPr>
        <w:t>行政区域内只享受一次上述政策。</w:t>
      </w:r>
    </w:p>
    <w:p w:rsidR="000065D8" w:rsidRDefault="007A3150">
      <w:pPr>
        <w:numPr>
          <w:ilvl w:val="0"/>
          <w:numId w:val="4"/>
        </w:numPr>
        <w:overflowPunct w:val="0"/>
        <w:ind w:firstLineChars="200" w:firstLine="640"/>
        <w:rPr>
          <w:rFonts w:ascii="仿宋" w:eastAsia="仿宋" w:hAnsi="仿宋" w:cs="Times New Roman"/>
          <w:sz w:val="32"/>
          <w:szCs w:val="32"/>
        </w:rPr>
      </w:pPr>
      <w:r>
        <w:rPr>
          <w:rFonts w:ascii="仿宋" w:eastAsia="仿宋" w:hAnsi="仿宋" w:cs="Times New Roman" w:hint="eastAsia"/>
          <w:sz w:val="32"/>
          <w:szCs w:val="32"/>
        </w:rPr>
        <w:t xml:space="preserve"> </w:t>
      </w:r>
      <w:r w:rsidR="0008672C">
        <w:rPr>
          <w:rFonts w:ascii="仿宋" w:eastAsia="仿宋" w:hAnsi="仿宋" w:cs="Times New Roman" w:hint="eastAsia"/>
          <w:sz w:val="32"/>
          <w:szCs w:val="32"/>
        </w:rPr>
        <w:t>中小学、幼儿园周边</w:t>
      </w:r>
      <w:r w:rsidR="0008672C">
        <w:rPr>
          <w:rFonts w:ascii="仿宋" w:eastAsia="仿宋" w:hAnsi="仿宋" w:cs="Times New Roman" w:hint="eastAsia"/>
          <w:sz w:val="32"/>
          <w:szCs w:val="32"/>
        </w:rPr>
        <w:t>50</w:t>
      </w:r>
      <w:r w:rsidR="0008672C">
        <w:rPr>
          <w:rFonts w:ascii="仿宋" w:eastAsia="仿宋" w:hAnsi="仿宋" w:cs="Times New Roman" w:hint="eastAsia"/>
          <w:sz w:val="32"/>
          <w:szCs w:val="32"/>
        </w:rPr>
        <w:t>米以上、不足</w:t>
      </w:r>
      <w:r w:rsidR="0008672C">
        <w:rPr>
          <w:rFonts w:ascii="仿宋" w:eastAsia="仿宋" w:hAnsi="仿宋" w:cs="Times New Roman" w:hint="eastAsia"/>
          <w:sz w:val="32"/>
          <w:szCs w:val="32"/>
        </w:rPr>
        <w:t>200</w:t>
      </w:r>
      <w:r w:rsidR="0008672C">
        <w:rPr>
          <w:rFonts w:ascii="仿宋" w:eastAsia="仿宋" w:hAnsi="仿宋" w:cs="Times New Roman" w:hint="eastAsia"/>
          <w:sz w:val="32"/>
          <w:szCs w:val="32"/>
        </w:rPr>
        <w:t>米的区域内现存已合法持有有效烟草专卖零售许可证的零售户，可保留其继续从事烟草制品零售业务的资格。中小学、幼儿园周边不足</w:t>
      </w:r>
      <w:r w:rsidR="0008672C">
        <w:rPr>
          <w:rFonts w:ascii="仿宋" w:eastAsia="仿宋" w:hAnsi="仿宋" w:cs="Times New Roman" w:hint="eastAsia"/>
          <w:sz w:val="32"/>
          <w:szCs w:val="32"/>
        </w:rPr>
        <w:t>50</w:t>
      </w:r>
      <w:r w:rsidR="0008672C">
        <w:rPr>
          <w:rFonts w:ascii="仿宋" w:eastAsia="仿宋" w:hAnsi="仿宋" w:cs="Times New Roman" w:hint="eastAsia"/>
          <w:sz w:val="32"/>
          <w:szCs w:val="32"/>
        </w:rPr>
        <w:t>米的区域内现存已合法持有有效烟草专卖零售许可证的零售户</w:t>
      </w:r>
      <w:r w:rsidR="0008672C">
        <w:rPr>
          <w:rFonts w:ascii="仿宋" w:eastAsia="仿宋" w:hAnsi="仿宋" w:cs="Times New Roman" w:hint="eastAsia"/>
          <w:sz w:val="32"/>
          <w:szCs w:val="32"/>
        </w:rPr>
        <w:t>,</w:t>
      </w:r>
      <w:r w:rsidR="0008672C">
        <w:rPr>
          <w:rFonts w:ascii="仿宋" w:eastAsia="仿宋" w:hAnsi="仿宋" w:cs="Times New Roman" w:hint="eastAsia"/>
          <w:sz w:val="32"/>
          <w:szCs w:val="32"/>
        </w:rPr>
        <w:t>许可证到期后不予延续。</w:t>
      </w:r>
    </w:p>
    <w:p w:rsidR="000065D8" w:rsidRDefault="0008672C">
      <w:pPr>
        <w:overflowPunct w:val="0"/>
        <w:ind w:firstLineChars="200" w:firstLine="640"/>
        <w:rPr>
          <w:rFonts w:ascii="仿宋" w:eastAsia="仿宋" w:hAnsi="仿宋" w:cs="Times New Roman"/>
          <w:sz w:val="32"/>
          <w:szCs w:val="32"/>
        </w:rPr>
      </w:pPr>
      <w:r>
        <w:rPr>
          <w:rFonts w:ascii="仿宋" w:eastAsia="仿宋" w:hAnsi="仿宋" w:cs="Times New Roman" w:hint="eastAsia"/>
          <w:sz w:val="32"/>
          <w:szCs w:val="32"/>
        </w:rPr>
        <w:t>上述情形的持证零售户，在其许可证有效期结束前，主动申请搬迁、变更经营地址的，依据第八章第十八条第（五）项规定执行。</w:t>
      </w:r>
    </w:p>
    <w:p w:rsidR="000065D8" w:rsidRDefault="000065D8">
      <w:pPr>
        <w:overflowPunct w:val="0"/>
        <w:rPr>
          <w:rFonts w:ascii="Times New Roman" w:eastAsia="黑体" w:hAnsi="Times New Roman" w:cs="Times New Roman"/>
          <w:sz w:val="32"/>
          <w:szCs w:val="32"/>
        </w:rPr>
      </w:pPr>
    </w:p>
    <w:p w:rsidR="000065D8" w:rsidRDefault="0008672C">
      <w:pPr>
        <w:numPr>
          <w:ilvl w:val="0"/>
          <w:numId w:val="5"/>
        </w:num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sz w:val="32"/>
          <w:szCs w:val="32"/>
        </w:rPr>
        <w:t>不予设置情形</w:t>
      </w:r>
    </w:p>
    <w:p w:rsidR="000065D8" w:rsidRDefault="000065D8">
      <w:pPr>
        <w:overflowPunct w:val="0"/>
        <w:rPr>
          <w:rFonts w:ascii="Times New Roman" w:eastAsia="黑体" w:hAnsi="Times New Roman" w:cs="Times New Roman"/>
          <w:sz w:val="32"/>
          <w:szCs w:val="32"/>
        </w:rPr>
      </w:pP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有下列情形之一的，不予发放烟草专卖零售许可证：</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（一）申请资格方面</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无民事行为能力或限制民事行为能力人。</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外商投资的商业企业或者个体工商户，或外商投资的商业企业或者个体工商户以特许、吸纳加盟店及其他再投资等形式变相从事烟草专卖品经营的。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取消从事烟草专卖业务资格不满三年的。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申请人隐瞒有关情况或者提供虚假材料，烟草专卖行政主管部门作出不予受理或者不予发证决定后，申请人一年内再次提出申请的。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申请人以欺骗、贿赂等不正当手段取得的烟草专卖许可证被撤销后，申请人三年内再次提出申请的。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未领取烟草专卖零售许可证经营烟草专卖品业务，并且一年内被执法机关处罚两次以上，在三年内申请领取烟草专卖零售许可证的</w:t>
      </w:r>
      <w:r>
        <w:rPr>
          <w:rFonts w:ascii="Times New Roman" w:eastAsia="仿宋" w:hAnsi="Times New Roman" w:cs="Times New Roman"/>
          <w:sz w:val="32"/>
          <w:szCs w:val="32"/>
        </w:rPr>
        <w:t>。</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7.</w:t>
      </w:r>
      <w:r>
        <w:rPr>
          <w:rFonts w:ascii="Times New Roman" w:eastAsia="仿宋" w:hAnsi="Times New Roman" w:cs="Times New Roman"/>
          <w:sz w:val="32"/>
          <w:szCs w:val="32"/>
        </w:rPr>
        <w:t>未领取烟草专卖零售许可证经营烟草制品业务被追究刑事责任，在</w:t>
      </w:r>
      <w:r>
        <w:rPr>
          <w:rFonts w:ascii="Times New Roman" w:eastAsia="仿宋" w:hAnsi="Times New Roman" w:cs="Times New Roman"/>
          <w:sz w:val="32"/>
          <w:szCs w:val="32"/>
        </w:rPr>
        <w:t>3</w:t>
      </w:r>
      <w:r>
        <w:rPr>
          <w:rFonts w:ascii="Times New Roman" w:eastAsia="仿宋" w:hAnsi="Times New Roman" w:cs="Times New Roman"/>
          <w:sz w:val="32"/>
          <w:szCs w:val="32"/>
        </w:rPr>
        <w:t>年内申请领取烟草专卖零售许可证的。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（二）经营场所方面</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无固定经营场所的。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经营场所与住所不相独立的。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3.</w:t>
      </w:r>
      <w:r>
        <w:rPr>
          <w:rFonts w:ascii="Times New Roman" w:eastAsia="仿宋" w:hAnsi="Times New Roman" w:cs="Times New Roman"/>
          <w:sz w:val="32"/>
          <w:szCs w:val="32"/>
        </w:rPr>
        <w:t>同一经营场所已经办理了烟草专卖零售许可证，且该许可证在有效期内的。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经营场所存在安全隐患，且不具备安全保障措施，不适宜经营卷烟的，包括但不限于经营或存放有毒有害、易燃易爆、放射性物品的场所。具备安全保障措施的加油站便利店除外。</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（三）经营方式方面</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通过涉烟自动售货机（柜）、无人超市、电玩游戏机等自动售货形式，销售或者变</w:t>
      </w:r>
      <w:r>
        <w:rPr>
          <w:rFonts w:ascii="Times New Roman" w:eastAsia="仿宋" w:hAnsi="Times New Roman" w:cs="Times New Roman"/>
          <w:sz w:val="32"/>
          <w:szCs w:val="32"/>
        </w:rPr>
        <w:t>相销售烟草制品的。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利用信息网络渠道销售卷烟的。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（四）特殊区域方面</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hint="eastAsia"/>
          <w:sz w:val="32"/>
          <w:szCs w:val="32"/>
        </w:rPr>
        <w:t>距离</w:t>
      </w:r>
      <w:r>
        <w:rPr>
          <w:rFonts w:ascii="仿宋" w:eastAsia="仿宋" w:hAnsi="仿宋" w:cs="Times New Roman" w:hint="eastAsia"/>
          <w:sz w:val="32"/>
          <w:szCs w:val="32"/>
        </w:rPr>
        <w:t>中小学、幼儿园</w:t>
      </w:r>
      <w:r>
        <w:rPr>
          <w:rFonts w:ascii="Times New Roman" w:eastAsia="仿宋" w:hAnsi="Times New Roman" w:cs="Times New Roman"/>
          <w:sz w:val="32"/>
          <w:szCs w:val="32"/>
        </w:rPr>
        <w:t>进出通道口</w:t>
      </w:r>
      <w:r>
        <w:rPr>
          <w:rFonts w:ascii="Times New Roman" w:eastAsia="仿宋" w:hAnsi="Times New Roman" w:cs="Times New Roman" w:hint="eastAsia"/>
          <w:sz w:val="32"/>
          <w:szCs w:val="32"/>
        </w:rPr>
        <w:t>不足</w:t>
      </w:r>
      <w:r>
        <w:rPr>
          <w:rFonts w:ascii="Times New Roman" w:eastAsia="仿宋" w:hAnsi="Times New Roman" w:cs="Times New Roman" w:hint="eastAsia"/>
          <w:sz w:val="32"/>
          <w:szCs w:val="32"/>
        </w:rPr>
        <w:t>200</w:t>
      </w:r>
      <w:r>
        <w:rPr>
          <w:rFonts w:ascii="Times New Roman" w:eastAsia="仿宋" w:hAnsi="Times New Roman" w:cs="Times New Roman" w:hint="eastAsia"/>
          <w:sz w:val="32"/>
          <w:szCs w:val="32"/>
        </w:rPr>
        <w:t>米的区域，</w:t>
      </w:r>
      <w:r>
        <w:rPr>
          <w:rFonts w:ascii="仿宋" w:eastAsia="仿宋" w:hAnsi="仿宋" w:cs="Times New Roman" w:hint="eastAsia"/>
          <w:sz w:val="32"/>
          <w:szCs w:val="32"/>
        </w:rPr>
        <w:t>不再新增烟草制品零售点。若政府、烟草上级部门出台新规定的，从其规定执行。</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诊所、医院、党政机关内部等依照当地政府或机构明确规定不能设置烟草制品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的。</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法律、法规、规章和国家烟草专卖局规定的其他不予发证的情形。</w:t>
      </w:r>
    </w:p>
    <w:p w:rsidR="000065D8" w:rsidRDefault="000065D8">
      <w:pPr>
        <w:overflowPunct w:val="0"/>
        <w:rPr>
          <w:rFonts w:ascii="Times New Roman" w:eastAsia="黑体" w:hAnsi="Times New Roman" w:cs="Times New Roman"/>
          <w:sz w:val="32"/>
          <w:szCs w:val="32"/>
        </w:rPr>
      </w:pPr>
    </w:p>
    <w:p w:rsidR="000065D8" w:rsidRDefault="0008672C">
      <w:pPr>
        <w:numPr>
          <w:ilvl w:val="0"/>
          <w:numId w:val="5"/>
        </w:numPr>
        <w:overflowPunct w:val="0"/>
        <w:jc w:val="center"/>
        <w:rPr>
          <w:rFonts w:ascii="Times New Roman" w:eastAsia="黑体" w:hAnsi="Times New Roman" w:cs="Times New Roman"/>
          <w:sz w:val="32"/>
          <w:szCs w:val="32"/>
        </w:rPr>
      </w:pPr>
      <w:r>
        <w:rPr>
          <w:rFonts w:ascii="Times New Roman" w:eastAsia="黑体" w:hAnsi="Times New Roman" w:cs="Times New Roman"/>
          <w:sz w:val="32"/>
          <w:szCs w:val="32"/>
        </w:rPr>
        <w:t xml:space="preserve"> </w:t>
      </w:r>
      <w:r>
        <w:rPr>
          <w:rFonts w:ascii="Times New Roman" w:eastAsia="黑体" w:hAnsi="Times New Roman" w:cs="Times New Roman"/>
          <w:sz w:val="32"/>
          <w:szCs w:val="32"/>
        </w:rPr>
        <w:t>附则</w:t>
      </w:r>
    </w:p>
    <w:p w:rsidR="000065D8" w:rsidRDefault="000065D8">
      <w:pPr>
        <w:overflowPunct w:val="0"/>
        <w:rPr>
          <w:rFonts w:ascii="Times New Roman" w:eastAsia="黑体" w:hAnsi="Times New Roman" w:cs="Times New Roman"/>
          <w:sz w:val="32"/>
          <w:szCs w:val="32"/>
        </w:rPr>
      </w:pP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第二十</w:t>
      </w:r>
      <w:r>
        <w:rPr>
          <w:rFonts w:ascii="Times New Roman" w:eastAsia="仿宋" w:hAnsi="Times New Roman" w:cs="Times New Roman" w:hint="eastAsia"/>
          <w:b/>
          <w:bCs/>
          <w:sz w:val="32"/>
          <w:szCs w:val="32"/>
        </w:rPr>
        <w:t>一</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hint="eastAsia"/>
          <w:sz w:val="32"/>
          <w:szCs w:val="32"/>
        </w:rPr>
        <w:t>“数量”控制模式</w:t>
      </w:r>
      <w:r>
        <w:rPr>
          <w:rFonts w:ascii="Times New Roman" w:eastAsia="仿宋" w:hAnsi="Times New Roman" w:cs="Times New Roman"/>
          <w:sz w:val="32"/>
          <w:szCs w:val="32"/>
        </w:rPr>
        <w:t>，是指通过</w:t>
      </w:r>
      <w:r>
        <w:rPr>
          <w:rFonts w:ascii="Times New Roman" w:eastAsia="仿宋" w:hAnsi="Times New Roman" w:cs="Times New Roman"/>
          <w:sz w:val="32"/>
          <w:szCs w:val="32"/>
        </w:rPr>
        <w:lastRenderedPageBreak/>
        <w:t>设定规划期限内特定区域的烟草制品</w:t>
      </w:r>
      <w:r>
        <w:rPr>
          <w:rFonts w:ascii="Times New Roman" w:eastAsia="仿宋" w:hAnsi="Times New Roman" w:cs="Times New Roman" w:hint="eastAsia"/>
          <w:sz w:val="32"/>
          <w:szCs w:val="32"/>
        </w:rPr>
        <w:t>零售点数量</w:t>
      </w:r>
      <w:r>
        <w:rPr>
          <w:rFonts w:ascii="Times New Roman" w:eastAsia="仿宋" w:hAnsi="Times New Roman" w:cs="Times New Roman"/>
          <w:sz w:val="32"/>
          <w:szCs w:val="32"/>
        </w:rPr>
        <w:t>上限，达到区域烟草制品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空间分布与适度规模的目的。</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第二十</w:t>
      </w:r>
      <w:r>
        <w:rPr>
          <w:rFonts w:ascii="Times New Roman" w:eastAsia="仿宋" w:hAnsi="Times New Roman" w:cs="Times New Roman" w:hint="eastAsia"/>
          <w:b/>
          <w:bCs/>
          <w:sz w:val="32"/>
          <w:szCs w:val="32"/>
        </w:rPr>
        <w:t>二</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hint="eastAsia"/>
          <w:sz w:val="32"/>
          <w:szCs w:val="32"/>
        </w:rPr>
        <w:t>“距离”控制模式</w:t>
      </w:r>
      <w:r>
        <w:rPr>
          <w:rFonts w:ascii="Times New Roman" w:eastAsia="仿宋" w:hAnsi="Times New Roman" w:cs="Times New Roman"/>
          <w:sz w:val="32"/>
          <w:szCs w:val="32"/>
        </w:rPr>
        <w:t>，是指以设定烟草制品</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之间的</w:t>
      </w:r>
      <w:r>
        <w:rPr>
          <w:rFonts w:ascii="Times New Roman" w:eastAsia="仿宋" w:hAnsi="Times New Roman" w:cs="Times New Roman" w:hint="eastAsia"/>
          <w:sz w:val="32"/>
          <w:szCs w:val="32"/>
        </w:rPr>
        <w:t>距离</w:t>
      </w:r>
      <w:r>
        <w:rPr>
          <w:rFonts w:ascii="Times New Roman" w:eastAsia="仿宋" w:hAnsi="Times New Roman" w:cs="Times New Roman"/>
          <w:sz w:val="32"/>
          <w:szCs w:val="32"/>
        </w:rPr>
        <w:t>为布局标准，通常按照不同区域特点分别设定最近两个</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的间距标准。</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二十三</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hint="eastAsia"/>
          <w:sz w:val="32"/>
          <w:szCs w:val="32"/>
        </w:rPr>
        <w:t>“数量</w:t>
      </w:r>
      <w:r>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距离”控制模式</w:t>
      </w:r>
      <w:r>
        <w:rPr>
          <w:rFonts w:ascii="Times New Roman" w:eastAsia="仿宋" w:hAnsi="Times New Roman" w:cs="Times New Roman"/>
          <w:sz w:val="32"/>
          <w:szCs w:val="32"/>
        </w:rPr>
        <w:t>，是指以</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和</w:t>
      </w:r>
      <w:r>
        <w:rPr>
          <w:rFonts w:ascii="Times New Roman" w:eastAsia="仿宋" w:hAnsi="Times New Roman" w:cs="Times New Roman" w:hint="eastAsia"/>
          <w:sz w:val="32"/>
          <w:szCs w:val="32"/>
        </w:rPr>
        <w:t>距离</w:t>
      </w:r>
      <w:r>
        <w:rPr>
          <w:rFonts w:ascii="Times New Roman" w:eastAsia="仿宋" w:hAnsi="Times New Roman" w:cs="Times New Roman"/>
          <w:sz w:val="32"/>
          <w:szCs w:val="32"/>
        </w:rPr>
        <w:t>相结合的综合</w:t>
      </w:r>
      <w:r>
        <w:rPr>
          <w:rFonts w:ascii="Times New Roman" w:eastAsia="仿宋" w:hAnsi="Times New Roman" w:cs="Times New Roman" w:hint="eastAsia"/>
          <w:sz w:val="32"/>
          <w:szCs w:val="32"/>
        </w:rPr>
        <w:t>控制模式</w:t>
      </w:r>
      <w:r>
        <w:rPr>
          <w:rFonts w:ascii="Times New Roman" w:eastAsia="仿宋" w:hAnsi="Times New Roman" w:cs="Times New Roman"/>
          <w:sz w:val="32"/>
          <w:szCs w:val="32"/>
        </w:rPr>
        <w:t>。</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二十四</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w:t>
      </w:r>
      <w:r>
        <w:rPr>
          <w:rFonts w:ascii="Times New Roman" w:eastAsia="仿宋" w:hAnsi="Times New Roman" w:cs="Times New Roman"/>
          <w:sz w:val="32"/>
          <w:szCs w:val="32"/>
        </w:rPr>
        <w:t>规划所称</w:t>
      </w:r>
      <w:r>
        <w:rPr>
          <w:rFonts w:ascii="Times New Roman" w:eastAsia="仿宋" w:hAnsi="Times New Roman" w:cs="Times New Roman"/>
          <w:sz w:val="32"/>
          <w:szCs w:val="32"/>
        </w:rPr>
        <w:t>“</w:t>
      </w:r>
      <w:r>
        <w:rPr>
          <w:rFonts w:ascii="Times New Roman" w:eastAsia="仿宋" w:hAnsi="Times New Roman" w:cs="Times New Roman"/>
          <w:sz w:val="32"/>
          <w:szCs w:val="32"/>
        </w:rPr>
        <w:t>退一进一</w:t>
      </w:r>
      <w:r>
        <w:rPr>
          <w:rFonts w:ascii="Times New Roman" w:eastAsia="仿宋" w:hAnsi="Times New Roman" w:cs="Times New Roman"/>
          <w:sz w:val="32"/>
          <w:szCs w:val="32"/>
        </w:rPr>
        <w:t>”“</w:t>
      </w:r>
      <w:r>
        <w:rPr>
          <w:rFonts w:ascii="Times New Roman" w:eastAsia="仿宋" w:hAnsi="Times New Roman" w:cs="Times New Roman"/>
          <w:sz w:val="32"/>
          <w:szCs w:val="32"/>
        </w:rPr>
        <w:t>先退后进</w:t>
      </w:r>
      <w:r>
        <w:rPr>
          <w:rFonts w:ascii="Times New Roman" w:eastAsia="仿宋" w:hAnsi="Times New Roman" w:cs="Times New Roman"/>
          <w:sz w:val="32"/>
          <w:szCs w:val="32"/>
        </w:rPr>
        <w:t>”</w:t>
      </w:r>
      <w:r>
        <w:rPr>
          <w:rFonts w:ascii="Times New Roman" w:eastAsia="仿宋" w:hAnsi="Times New Roman" w:cs="Times New Roman" w:hint="eastAsia"/>
          <w:sz w:val="32"/>
          <w:szCs w:val="32"/>
        </w:rPr>
        <w:t>，是指，</w:t>
      </w:r>
      <w:r>
        <w:rPr>
          <w:rFonts w:ascii="Times New Roman" w:eastAsia="仿宋" w:hAnsi="Times New Roman" w:cs="Times New Roman"/>
          <w:sz w:val="32"/>
          <w:szCs w:val="32"/>
        </w:rPr>
        <w:t>单元格</w:t>
      </w:r>
      <w:r>
        <w:rPr>
          <w:rFonts w:ascii="Times New Roman" w:eastAsia="仿宋" w:hAnsi="Times New Roman" w:cs="Times New Roman" w:hint="eastAsia"/>
          <w:sz w:val="32"/>
          <w:szCs w:val="32"/>
        </w:rPr>
        <w:t>零售点数量</w:t>
      </w:r>
      <w:r>
        <w:rPr>
          <w:rFonts w:ascii="Times New Roman" w:eastAsia="仿宋" w:hAnsi="Times New Roman" w:cs="Times New Roman"/>
          <w:sz w:val="32"/>
          <w:szCs w:val="32"/>
        </w:rPr>
        <w:t>达到或者超过指导数上限</w:t>
      </w:r>
      <w:r>
        <w:rPr>
          <w:rFonts w:ascii="Times New Roman" w:eastAsia="仿宋" w:hAnsi="Times New Roman" w:cs="Times New Roman" w:hint="eastAsia"/>
          <w:sz w:val="32"/>
          <w:szCs w:val="32"/>
        </w:rPr>
        <w:t>后</w:t>
      </w:r>
      <w:r>
        <w:rPr>
          <w:rFonts w:ascii="Times New Roman" w:eastAsia="仿宋" w:hAnsi="Times New Roman" w:cs="Times New Roman"/>
          <w:sz w:val="32"/>
          <w:szCs w:val="32"/>
        </w:rPr>
        <w:t>，不予设置</w:t>
      </w:r>
      <w:r>
        <w:rPr>
          <w:rFonts w:ascii="Times New Roman" w:eastAsia="仿宋" w:hAnsi="Times New Roman" w:cs="Times New Roman" w:hint="eastAsia"/>
          <w:sz w:val="32"/>
          <w:szCs w:val="32"/>
        </w:rPr>
        <w:t>零售点，须等待零售户退出，小于单元格零售点数量指导数后，按照“受理在先”的原则设置烟草制品，不得超过单元格零售点数量指导数上限。</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二十五</w:t>
      </w:r>
      <w:r>
        <w:rPr>
          <w:rFonts w:ascii="Times New Roman" w:eastAsia="仿宋" w:hAnsi="Times New Roman" w:cs="Times New Roman"/>
          <w:b/>
          <w:bCs/>
          <w:sz w:val="32"/>
          <w:szCs w:val="32"/>
        </w:rPr>
        <w:t>条</w:t>
      </w:r>
      <w:r>
        <w:rPr>
          <w:rFonts w:ascii="Times New Roman" w:eastAsia="仿宋" w:hAnsi="Times New Roman" w:cs="Times New Roman" w:hint="eastAsia"/>
          <w:sz w:val="32"/>
          <w:szCs w:val="32"/>
        </w:rPr>
        <w:t xml:space="preserve"> </w:t>
      </w:r>
      <w:r w:rsidR="007A3150">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本规划所称雪茄烟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是指依法取得烟草专卖零售许可证的公民、法人及其他组织，单独从事雪茄烟零售业务的与住所相独立的具有雪茄烟储存保管条件的固定经营场所。</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雪茄烟</w:t>
      </w:r>
      <w:r>
        <w:rPr>
          <w:rFonts w:ascii="Times New Roman" w:eastAsia="仿宋" w:hAnsi="Times New Roman" w:cs="Times New Roman" w:hint="eastAsia"/>
          <w:sz w:val="32"/>
          <w:szCs w:val="32"/>
        </w:rPr>
        <w:t>零售点</w:t>
      </w:r>
      <w:r>
        <w:rPr>
          <w:rFonts w:ascii="Times New Roman" w:eastAsia="仿宋" w:hAnsi="Times New Roman" w:cs="Times New Roman" w:hint="eastAsia"/>
          <w:sz w:val="32"/>
          <w:szCs w:val="32"/>
        </w:rPr>
        <w:t>的许可范围仅为雪茄烟本店零售，经营场所地址应当具体明确，具有唯一性，与营业执照登记地址相符。</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二十六</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固定经营场所</w:t>
      </w:r>
      <w:r>
        <w:rPr>
          <w:rFonts w:ascii="Times New Roman" w:eastAsia="仿宋" w:hAnsi="Times New Roman" w:cs="Times New Roman"/>
          <w:sz w:val="32"/>
          <w:szCs w:val="32"/>
        </w:rPr>
        <w:t>”</w:t>
      </w:r>
      <w:r>
        <w:rPr>
          <w:rFonts w:ascii="Times New Roman" w:eastAsia="仿宋" w:hAnsi="Times New Roman" w:cs="Times New Roman"/>
          <w:sz w:val="32"/>
          <w:szCs w:val="32"/>
        </w:rPr>
        <w:t>，是指用于商品销售、存储的不可移动且合法使用的场所。申请烟草专卖零售许可证时经营场所应设置零售商品展示的柜台或货</w:t>
      </w:r>
      <w:r>
        <w:rPr>
          <w:rFonts w:ascii="Times New Roman" w:eastAsia="仿宋" w:hAnsi="Times New Roman" w:cs="Times New Roman"/>
          <w:sz w:val="32"/>
          <w:szCs w:val="32"/>
        </w:rPr>
        <w:lastRenderedPageBreak/>
        <w:t>架，明确存储位置或场所，具备正常开展经营活动的条件。</w:t>
      </w:r>
      <w:r>
        <w:rPr>
          <w:rFonts w:ascii="Times New Roman" w:eastAsia="仿宋" w:hAnsi="Times New Roman" w:cs="Times New Roman"/>
          <w:sz w:val="32"/>
          <w:szCs w:val="32"/>
        </w:rPr>
        <w:t>“</w:t>
      </w:r>
      <w:r>
        <w:rPr>
          <w:rFonts w:ascii="Times New Roman" w:eastAsia="仿宋" w:hAnsi="Times New Roman" w:cs="Times New Roman"/>
          <w:sz w:val="32"/>
          <w:szCs w:val="32"/>
        </w:rPr>
        <w:t>固定经营场所</w:t>
      </w:r>
      <w:r>
        <w:rPr>
          <w:rFonts w:ascii="Times New Roman" w:eastAsia="仿宋" w:hAnsi="Times New Roman" w:cs="Times New Roman"/>
          <w:sz w:val="32"/>
          <w:szCs w:val="32"/>
        </w:rPr>
        <w:t>”</w:t>
      </w:r>
      <w:r>
        <w:rPr>
          <w:rFonts w:ascii="Times New Roman" w:eastAsia="仿宋" w:hAnsi="Times New Roman" w:cs="Times New Roman"/>
          <w:sz w:val="32"/>
          <w:szCs w:val="32"/>
        </w:rPr>
        <w:t>不包括住宅、公寓或其附属的地下室、储藏室、车库等，也不包含</w:t>
      </w:r>
      <w:r>
        <w:rPr>
          <w:rFonts w:ascii="Times New Roman" w:eastAsia="仿宋" w:hAnsi="Times New Roman" w:cs="Times New Roman"/>
          <w:sz w:val="32"/>
          <w:szCs w:val="32"/>
        </w:rPr>
        <w:t>流动摊点（车、棚）、违章建筑、临时建筑物（建筑工地除外）、占用公共消防通道的经营场所等。申请人用于存放烟草制品的储藏室、仓库等空间属于经营场所，应当在实地核查时予以明确。</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二十七条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与住所相独立</w:t>
      </w:r>
      <w:r>
        <w:rPr>
          <w:rFonts w:ascii="Times New Roman" w:eastAsia="仿宋" w:hAnsi="Times New Roman" w:cs="Times New Roman"/>
          <w:sz w:val="32"/>
          <w:szCs w:val="32"/>
        </w:rPr>
        <w:t>”</w:t>
      </w:r>
      <w:r>
        <w:rPr>
          <w:rFonts w:ascii="Times New Roman" w:eastAsia="仿宋" w:hAnsi="Times New Roman" w:cs="Times New Roman"/>
          <w:sz w:val="32"/>
          <w:szCs w:val="32"/>
        </w:rPr>
        <w:t>，是指经营场所与生活居住场所在物理空间上隔离且有明确的区域界线。</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二十八</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间距</w:t>
      </w:r>
      <w:r>
        <w:rPr>
          <w:rFonts w:ascii="Times New Roman" w:eastAsia="仿宋" w:hAnsi="Times New Roman" w:cs="Times New Roman"/>
          <w:sz w:val="32"/>
          <w:szCs w:val="32"/>
        </w:rPr>
        <w:t>”</w:t>
      </w:r>
      <w:r>
        <w:rPr>
          <w:rFonts w:ascii="Times New Roman" w:eastAsia="仿宋" w:hAnsi="Times New Roman" w:cs="Times New Roman"/>
          <w:sz w:val="32"/>
          <w:szCs w:val="32"/>
        </w:rPr>
        <w:t>（除幼儿园、中小学周边外），指申请者拟从事烟草制品零售业务经营场所入口中心点至最近的</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入口中心点的</w:t>
      </w:r>
      <w:r>
        <w:rPr>
          <w:rFonts w:ascii="Times New Roman" w:eastAsia="仿宋" w:hAnsi="Times New Roman" w:cs="Times New Roman" w:hint="eastAsia"/>
          <w:sz w:val="32"/>
          <w:szCs w:val="32"/>
        </w:rPr>
        <w:t>距离</w:t>
      </w:r>
      <w:r>
        <w:rPr>
          <w:rFonts w:ascii="Times New Roman" w:eastAsia="仿宋" w:hAnsi="Times New Roman" w:cs="Times New Roman"/>
          <w:sz w:val="32"/>
          <w:szCs w:val="32"/>
        </w:rPr>
        <w:t>。</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间距按照行人在不违反交通管理规定的前提下，可通行的最短可行路径进行测量。测量方式为两名以上执法人</w:t>
      </w:r>
      <w:r>
        <w:rPr>
          <w:rFonts w:ascii="Times New Roman" w:eastAsia="仿宋" w:hAnsi="Times New Roman" w:cs="Times New Roman"/>
          <w:sz w:val="32"/>
          <w:szCs w:val="32"/>
        </w:rPr>
        <w:t>员实地测量三次，测量最终数据为三次测量平均数，单位为米，保留小数点后一位。</w:t>
      </w:r>
      <w:r>
        <w:rPr>
          <w:rFonts w:ascii="Times New Roman" w:eastAsia="仿宋" w:hAnsi="Times New Roman" w:cs="Times New Roman" w:hint="eastAsia"/>
          <w:sz w:val="32"/>
          <w:szCs w:val="32"/>
        </w:rPr>
        <w:t>间距测量工作标准详</w:t>
      </w:r>
      <w:r>
        <w:rPr>
          <w:rFonts w:ascii="Times New Roman" w:eastAsia="仿宋" w:hAnsi="Times New Roman" w:cs="Times New Roman"/>
          <w:sz w:val="32"/>
          <w:szCs w:val="32"/>
        </w:rPr>
        <w:t>见</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3</w:t>
      </w:r>
      <w:r>
        <w:rPr>
          <w:rFonts w:ascii="Times New Roman" w:eastAsia="仿宋" w:hAnsi="Times New Roman" w:cs="Times New Roman"/>
          <w:sz w:val="32"/>
          <w:szCs w:val="32"/>
        </w:rPr>
        <w:t>。</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二十九</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住宅小区</w:t>
      </w:r>
      <w:r>
        <w:rPr>
          <w:rFonts w:ascii="Times New Roman" w:eastAsia="仿宋" w:hAnsi="Times New Roman" w:cs="Times New Roman"/>
          <w:sz w:val="32"/>
          <w:szCs w:val="32"/>
        </w:rPr>
        <w:t>”</w:t>
      </w:r>
      <w:r>
        <w:rPr>
          <w:rFonts w:ascii="Times New Roman" w:eastAsia="仿宋" w:hAnsi="Times New Roman" w:cs="Times New Roman"/>
          <w:sz w:val="32"/>
          <w:szCs w:val="32"/>
        </w:rPr>
        <w:t>指的是以住宅房屋为主，并有相配套的公共设施的居住小区、居住组团、商住楼等。</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一</w:t>
      </w:r>
      <w:r>
        <w:rPr>
          <w:rFonts w:ascii="Times New Roman" w:eastAsia="仿宋" w:hAnsi="Times New Roman" w:cs="Times New Roman"/>
          <w:sz w:val="32"/>
          <w:szCs w:val="32"/>
        </w:rPr>
        <w:t>）住宅小区住户</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原则上以小区物业或村（居）委会等部门出具的小区住户</w:t>
      </w:r>
      <w:r>
        <w:rPr>
          <w:rFonts w:ascii="Times New Roman" w:eastAsia="仿宋" w:hAnsi="Times New Roman" w:cs="Times New Roman" w:hint="eastAsia"/>
          <w:sz w:val="32"/>
          <w:szCs w:val="32"/>
        </w:rPr>
        <w:t>数量</w:t>
      </w:r>
      <w:r>
        <w:rPr>
          <w:rFonts w:ascii="Times New Roman" w:eastAsia="仿宋" w:hAnsi="Times New Roman" w:cs="Times New Roman"/>
          <w:sz w:val="32"/>
          <w:szCs w:val="32"/>
        </w:rPr>
        <w:t>证明为准，住户含居民户和商户。经核实小区物业或村（居）委会等管理部</w:t>
      </w:r>
      <w:r>
        <w:rPr>
          <w:rFonts w:ascii="Times New Roman" w:eastAsia="仿宋" w:hAnsi="Times New Roman" w:cs="Times New Roman"/>
          <w:sz w:val="32"/>
          <w:szCs w:val="32"/>
        </w:rPr>
        <w:lastRenderedPageBreak/>
        <w:t>门出具虚假证明的，不予采纳。</w:t>
      </w:r>
    </w:p>
    <w:p w:rsidR="000065D8" w:rsidRDefault="0008672C">
      <w:pPr>
        <w:overflowPunct w:val="0"/>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hint="eastAsia"/>
          <w:sz w:val="32"/>
          <w:szCs w:val="32"/>
        </w:rPr>
        <w:t>二</w:t>
      </w:r>
      <w:r>
        <w:rPr>
          <w:rFonts w:ascii="Times New Roman" w:eastAsia="仿宋" w:hAnsi="Times New Roman" w:cs="Times New Roman"/>
          <w:sz w:val="32"/>
          <w:szCs w:val="32"/>
        </w:rPr>
        <w:t>）</w:t>
      </w:r>
      <w:r>
        <w:rPr>
          <w:rFonts w:ascii="Times New Roman" w:eastAsia="仿宋" w:hAnsi="Times New Roman" w:cs="Times New Roman"/>
          <w:sz w:val="32"/>
          <w:szCs w:val="32"/>
        </w:rPr>
        <w:t>“</w:t>
      </w:r>
      <w:r>
        <w:rPr>
          <w:rFonts w:ascii="Times New Roman" w:eastAsia="仿宋" w:hAnsi="Times New Roman" w:cs="Times New Roman"/>
          <w:sz w:val="32"/>
          <w:szCs w:val="32"/>
        </w:rPr>
        <w:t>封闭式住宅小区</w:t>
      </w:r>
      <w:r>
        <w:rPr>
          <w:rFonts w:ascii="Times New Roman" w:eastAsia="仿宋" w:hAnsi="Times New Roman" w:cs="Times New Roman"/>
          <w:sz w:val="32"/>
          <w:szCs w:val="32"/>
        </w:rPr>
        <w:t>”</w:t>
      </w:r>
      <w:r>
        <w:rPr>
          <w:rFonts w:ascii="Times New Roman" w:eastAsia="仿宋" w:hAnsi="Times New Roman" w:cs="Times New Roman"/>
          <w:sz w:val="32"/>
          <w:szCs w:val="32"/>
        </w:rPr>
        <w:t>是指有明确界限，设有门岗、院墙或其他隔离障碍的住宅小区。</w:t>
      </w:r>
      <w:r>
        <w:rPr>
          <w:rFonts w:ascii="Times New Roman" w:eastAsia="仿宋" w:hAnsi="Times New Roman" w:cs="Times New Roman"/>
          <w:sz w:val="32"/>
          <w:szCs w:val="32"/>
        </w:rPr>
        <w:t>“</w:t>
      </w:r>
      <w:r>
        <w:rPr>
          <w:rFonts w:ascii="Times New Roman" w:eastAsia="仿宋" w:hAnsi="Times New Roman" w:cs="Times New Roman"/>
          <w:sz w:val="32"/>
          <w:szCs w:val="32"/>
        </w:rPr>
        <w:t>开放式住宅小区</w:t>
      </w:r>
      <w:r>
        <w:rPr>
          <w:rFonts w:ascii="Times New Roman" w:eastAsia="仿宋" w:hAnsi="Times New Roman" w:cs="Times New Roman"/>
          <w:sz w:val="32"/>
          <w:szCs w:val="32"/>
        </w:rPr>
        <w:t>”</w:t>
      </w:r>
      <w:r>
        <w:rPr>
          <w:rFonts w:ascii="Times New Roman" w:eastAsia="仿宋" w:hAnsi="Times New Roman" w:cs="Times New Roman"/>
          <w:sz w:val="32"/>
          <w:szCs w:val="32"/>
        </w:rPr>
        <w:t>与之相反。</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hint="eastAsia"/>
          <w:sz w:val="32"/>
          <w:szCs w:val="32"/>
        </w:rPr>
        <w:t>行政村</w:t>
      </w:r>
      <w:r>
        <w:rPr>
          <w:rFonts w:ascii="Times New Roman" w:eastAsia="仿宋" w:hAnsi="Times New Roman" w:cs="Times New Roman"/>
          <w:sz w:val="32"/>
          <w:szCs w:val="32"/>
        </w:rPr>
        <w:t>”</w:t>
      </w:r>
      <w:r>
        <w:rPr>
          <w:rFonts w:ascii="Times New Roman" w:eastAsia="仿宋" w:hAnsi="Times New Roman" w:cs="Times New Roman"/>
          <w:sz w:val="32"/>
          <w:szCs w:val="32"/>
        </w:rPr>
        <w:t>主要指大的聚落或多个聚落形成的群体，常用作现代意义上的人口集中分布的区域。包括自然</w:t>
      </w:r>
      <w:r>
        <w:rPr>
          <w:rFonts w:ascii="Times New Roman" w:eastAsia="仿宋" w:hAnsi="Times New Roman" w:cs="Times New Roman" w:hint="eastAsia"/>
          <w:sz w:val="32"/>
          <w:szCs w:val="32"/>
        </w:rPr>
        <w:t>行政村</w:t>
      </w:r>
      <w:r>
        <w:rPr>
          <w:rFonts w:ascii="Times New Roman" w:eastAsia="仿宋" w:hAnsi="Times New Roman" w:cs="Times New Roman"/>
          <w:sz w:val="32"/>
          <w:szCs w:val="32"/>
        </w:rPr>
        <w:t>、自然村、村庄区域。</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第三十</w:t>
      </w:r>
      <w:r>
        <w:rPr>
          <w:rFonts w:ascii="Times New Roman" w:eastAsia="仿宋" w:hAnsi="Times New Roman" w:cs="Times New Roman" w:hint="eastAsia"/>
          <w:b/>
          <w:bCs/>
          <w:sz w:val="32"/>
          <w:szCs w:val="32"/>
        </w:rPr>
        <w:t>一</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交通枢纽内部候乘场所</w:t>
      </w:r>
      <w:r>
        <w:rPr>
          <w:rFonts w:ascii="Times New Roman" w:eastAsia="仿宋" w:hAnsi="Times New Roman" w:cs="Times New Roman"/>
          <w:sz w:val="32"/>
          <w:szCs w:val="32"/>
        </w:rPr>
        <w:t>”</w:t>
      </w:r>
      <w:r>
        <w:rPr>
          <w:rFonts w:ascii="Times New Roman" w:eastAsia="仿宋" w:hAnsi="Times New Roman" w:cs="Times New Roman"/>
          <w:sz w:val="32"/>
          <w:szCs w:val="32"/>
        </w:rPr>
        <w:t>是指旅客需要采取检票、安检等过关手段进入的交通枢纽建筑内部公共候乘区域，不包括开放的临街区域、工作人员办公区域等。</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第三十</w:t>
      </w:r>
      <w:r>
        <w:rPr>
          <w:rFonts w:ascii="Times New Roman" w:eastAsia="仿宋" w:hAnsi="Times New Roman" w:cs="Times New Roman" w:hint="eastAsia"/>
          <w:b/>
          <w:bCs/>
          <w:sz w:val="32"/>
          <w:szCs w:val="32"/>
        </w:rPr>
        <w:t>二</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城镇新区</w:t>
      </w:r>
      <w:r>
        <w:rPr>
          <w:rFonts w:ascii="Times New Roman" w:eastAsia="仿宋" w:hAnsi="Times New Roman" w:cs="Times New Roman"/>
          <w:sz w:val="32"/>
          <w:szCs w:val="32"/>
        </w:rPr>
        <w:t>”</w:t>
      </w:r>
      <w:r>
        <w:rPr>
          <w:rFonts w:ascii="Times New Roman" w:eastAsia="仿宋" w:hAnsi="Times New Roman" w:cs="Times New Roman"/>
          <w:sz w:val="32"/>
          <w:szCs w:val="32"/>
        </w:rPr>
        <w:t>是指在城镇周边或内部，目前处于开发阶段，产业配套还未完善的区域。</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三十三</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特色城镇</w:t>
      </w:r>
      <w:r>
        <w:rPr>
          <w:rFonts w:ascii="Times New Roman" w:eastAsia="仿宋" w:hAnsi="Times New Roman" w:cs="Times New Roman"/>
          <w:sz w:val="32"/>
          <w:szCs w:val="32"/>
        </w:rPr>
        <w:t>”</w:t>
      </w:r>
      <w:r>
        <w:rPr>
          <w:rFonts w:ascii="Times New Roman" w:eastAsia="仿宋" w:hAnsi="Times New Roman" w:cs="Times New Roman"/>
          <w:sz w:val="32"/>
          <w:szCs w:val="32"/>
        </w:rPr>
        <w:t>是指具有明确产业定位、文化内涵、旅游特征和一定社区功能的新型综合发展空间。</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三十四</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烈士家属</w:t>
      </w:r>
      <w:r>
        <w:rPr>
          <w:rFonts w:ascii="Times New Roman" w:eastAsia="仿宋" w:hAnsi="Times New Roman" w:cs="Times New Roman"/>
          <w:sz w:val="32"/>
          <w:szCs w:val="32"/>
        </w:rPr>
        <w:t>”</w:t>
      </w:r>
      <w:r>
        <w:rPr>
          <w:rFonts w:ascii="Times New Roman" w:eastAsia="仿宋" w:hAnsi="Times New Roman" w:cs="Times New Roman"/>
          <w:sz w:val="32"/>
          <w:szCs w:val="32"/>
        </w:rPr>
        <w:t>是指经规定机关批准，取得中华人民共和国民政部制发的《革命烈士证明书》的家属；</w:t>
      </w:r>
      <w:r>
        <w:rPr>
          <w:rFonts w:ascii="Times New Roman" w:eastAsia="仿宋" w:hAnsi="Times New Roman" w:cs="Times New Roman"/>
          <w:sz w:val="32"/>
          <w:szCs w:val="32"/>
        </w:rPr>
        <w:t>“</w:t>
      </w:r>
      <w:r>
        <w:rPr>
          <w:rFonts w:ascii="Times New Roman" w:eastAsia="仿宋" w:hAnsi="Times New Roman" w:cs="Times New Roman"/>
          <w:sz w:val="32"/>
          <w:szCs w:val="32"/>
        </w:rPr>
        <w:t>因公牺牲军人家属</w:t>
      </w:r>
      <w:r>
        <w:rPr>
          <w:rFonts w:ascii="Times New Roman" w:eastAsia="仿宋" w:hAnsi="Times New Roman" w:cs="Times New Roman"/>
          <w:sz w:val="32"/>
          <w:szCs w:val="32"/>
        </w:rPr>
        <w:t>”</w:t>
      </w:r>
      <w:r>
        <w:rPr>
          <w:rFonts w:ascii="Times New Roman" w:eastAsia="仿宋" w:hAnsi="Times New Roman" w:cs="Times New Roman"/>
          <w:sz w:val="32"/>
          <w:szCs w:val="32"/>
        </w:rPr>
        <w:t>是指经规定机关批准，取得《革命军人因公牺牲证明书》的家属。</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三十五</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本规划所称</w:t>
      </w:r>
      <w:r>
        <w:rPr>
          <w:rFonts w:ascii="Times New Roman" w:eastAsia="仿宋" w:hAnsi="Times New Roman" w:cs="Times New Roman"/>
          <w:sz w:val="32"/>
          <w:szCs w:val="32"/>
        </w:rPr>
        <w:t>“</w:t>
      </w:r>
      <w:r>
        <w:rPr>
          <w:rFonts w:ascii="Times New Roman" w:eastAsia="仿宋" w:hAnsi="Times New Roman" w:cs="Times New Roman"/>
          <w:sz w:val="32"/>
          <w:szCs w:val="32"/>
        </w:rPr>
        <w:t>中小学、幼儿园</w:t>
      </w:r>
      <w:r>
        <w:rPr>
          <w:rFonts w:ascii="Times New Roman" w:eastAsia="仿宋" w:hAnsi="Times New Roman" w:cs="Times New Roman"/>
          <w:sz w:val="32"/>
          <w:szCs w:val="32"/>
        </w:rPr>
        <w:t>”</w:t>
      </w:r>
      <w:r>
        <w:rPr>
          <w:rFonts w:ascii="Times New Roman" w:eastAsia="仿宋" w:hAnsi="Times New Roman" w:cs="Times New Roman"/>
          <w:sz w:val="32"/>
          <w:szCs w:val="32"/>
        </w:rPr>
        <w:t>是指经教育主管部门批准取得办学资质，实施中等、初等、学前教育</w:t>
      </w:r>
      <w:r>
        <w:rPr>
          <w:rFonts w:ascii="Times New Roman" w:eastAsia="仿宋" w:hAnsi="Times New Roman" w:cs="Times New Roman"/>
          <w:sz w:val="32"/>
          <w:szCs w:val="32"/>
        </w:rPr>
        <w:lastRenderedPageBreak/>
        <w:t>的校园，包括公立或民办普通中小学、幼儿园、特殊教育学校、中等职业学校以及专门学校。</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三十六</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中小学、幼儿园周边</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的</w:t>
      </w:r>
      <w:r>
        <w:rPr>
          <w:rFonts w:ascii="Times New Roman" w:eastAsia="仿宋" w:hAnsi="Times New Roman" w:cs="Times New Roman" w:hint="eastAsia"/>
          <w:sz w:val="32"/>
          <w:szCs w:val="32"/>
        </w:rPr>
        <w:t>“距离”</w:t>
      </w:r>
      <w:r>
        <w:rPr>
          <w:rFonts w:ascii="Times New Roman" w:eastAsia="仿宋" w:hAnsi="Times New Roman" w:cs="Times New Roman"/>
          <w:sz w:val="32"/>
          <w:szCs w:val="32"/>
        </w:rPr>
        <w:t>，是指以</w:t>
      </w:r>
      <w:r>
        <w:rPr>
          <w:rFonts w:ascii="Times New Roman" w:eastAsia="仿宋" w:hAnsi="Times New Roman" w:cs="Times New Roman"/>
          <w:sz w:val="32"/>
          <w:szCs w:val="32"/>
        </w:rPr>
        <w:t>“</w:t>
      </w:r>
      <w:r>
        <w:rPr>
          <w:rFonts w:ascii="Times New Roman" w:eastAsia="仿宋" w:hAnsi="Times New Roman" w:cs="Times New Roman"/>
          <w:sz w:val="32"/>
          <w:szCs w:val="32"/>
        </w:rPr>
        <w:t>幼儿园、中小学校</w:t>
      </w:r>
      <w:r>
        <w:rPr>
          <w:rFonts w:ascii="Times New Roman" w:eastAsia="仿宋" w:hAnsi="Times New Roman" w:cs="Times New Roman"/>
          <w:sz w:val="32"/>
          <w:szCs w:val="32"/>
        </w:rPr>
        <w:t>”</w:t>
      </w:r>
      <w:r>
        <w:rPr>
          <w:rFonts w:ascii="Times New Roman" w:eastAsia="仿宋" w:hAnsi="Times New Roman" w:cs="Times New Roman"/>
          <w:sz w:val="32"/>
          <w:szCs w:val="32"/>
        </w:rPr>
        <w:t>的主要进出通道口中心点为标准，与拟新办</w:t>
      </w:r>
      <w:r>
        <w:rPr>
          <w:rFonts w:ascii="Times New Roman" w:eastAsia="仿宋" w:hAnsi="Times New Roman" w:cs="Times New Roman" w:hint="eastAsia"/>
          <w:sz w:val="32"/>
          <w:szCs w:val="32"/>
        </w:rPr>
        <w:t>零售点</w:t>
      </w:r>
      <w:r>
        <w:rPr>
          <w:rFonts w:ascii="Times New Roman" w:eastAsia="仿宋" w:hAnsi="Times New Roman" w:cs="Times New Roman"/>
          <w:sz w:val="32"/>
          <w:szCs w:val="32"/>
        </w:rPr>
        <w:t>入口中心点之间可通行的最短</w:t>
      </w:r>
      <w:r>
        <w:rPr>
          <w:rFonts w:ascii="Times New Roman" w:eastAsia="仿宋" w:hAnsi="Times New Roman" w:cs="Times New Roman" w:hint="eastAsia"/>
          <w:sz w:val="32"/>
          <w:szCs w:val="32"/>
        </w:rPr>
        <w:t>“距离”</w:t>
      </w:r>
      <w:r>
        <w:rPr>
          <w:rFonts w:ascii="Times New Roman" w:eastAsia="仿宋" w:hAnsi="Times New Roman" w:cs="Times New Roman"/>
          <w:sz w:val="32"/>
          <w:szCs w:val="32"/>
        </w:rPr>
        <w:t>。</w:t>
      </w:r>
      <w:r>
        <w:rPr>
          <w:rFonts w:ascii="Times New Roman" w:eastAsia="仿宋" w:hAnsi="Times New Roman" w:cs="Times New Roman" w:hint="eastAsia"/>
          <w:sz w:val="32"/>
          <w:szCs w:val="32"/>
        </w:rPr>
        <w:t>间距测量工作标准详</w:t>
      </w:r>
      <w:r>
        <w:rPr>
          <w:rFonts w:ascii="Times New Roman" w:eastAsia="仿宋" w:hAnsi="Times New Roman" w:cs="Times New Roman"/>
          <w:sz w:val="32"/>
          <w:szCs w:val="32"/>
        </w:rPr>
        <w:t>见</w:t>
      </w:r>
      <w:r>
        <w:rPr>
          <w:rFonts w:ascii="Times New Roman" w:eastAsia="仿宋" w:hAnsi="Times New Roman" w:cs="Times New Roman" w:hint="eastAsia"/>
          <w:sz w:val="32"/>
          <w:szCs w:val="32"/>
        </w:rPr>
        <w:t>附件</w:t>
      </w:r>
      <w:r>
        <w:rPr>
          <w:rFonts w:ascii="Times New Roman" w:eastAsia="仿宋" w:hAnsi="Times New Roman" w:cs="Times New Roman" w:hint="eastAsia"/>
          <w:sz w:val="32"/>
          <w:szCs w:val="32"/>
        </w:rPr>
        <w:t>3</w:t>
      </w:r>
      <w:r>
        <w:rPr>
          <w:rFonts w:ascii="Times New Roman" w:eastAsia="仿宋" w:hAnsi="Times New Roman" w:cs="Times New Roman"/>
          <w:sz w:val="32"/>
          <w:szCs w:val="32"/>
        </w:rPr>
        <w:t>。</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三十七</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经营面积的测量，以实际测量的面积为准，申请地址相关产权凭证所登记的建筑面积为参照，公摊面积不计算在内，包括申请地址连续空间内的商品摆卖区域和其他用于仓储或商用等经营用途的区域；若店内存在隔层，隔层层高达到</w:t>
      </w:r>
      <w:r>
        <w:rPr>
          <w:rFonts w:ascii="Times New Roman" w:eastAsia="仿宋" w:hAnsi="Times New Roman" w:cs="Times New Roman"/>
          <w:sz w:val="32"/>
          <w:szCs w:val="32"/>
        </w:rPr>
        <w:t>2.5</w:t>
      </w:r>
      <w:r>
        <w:rPr>
          <w:rFonts w:ascii="Times New Roman" w:eastAsia="仿宋" w:hAnsi="Times New Roman" w:cs="Times New Roman"/>
          <w:sz w:val="32"/>
          <w:szCs w:val="32"/>
        </w:rPr>
        <w:t>米（含）以上且用于上述经营用途的区域计入经营面积。</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三十八</w:t>
      </w:r>
      <w:r>
        <w:rPr>
          <w:rFonts w:ascii="Times New Roman" w:eastAsia="仿宋" w:hAnsi="Times New Roman" w:cs="Times New Roman"/>
          <w:b/>
          <w:bCs/>
          <w:sz w:val="32"/>
          <w:szCs w:val="32"/>
        </w:rPr>
        <w:t>条</w:t>
      </w:r>
      <w:r w:rsidR="007A3150">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本规划中的</w:t>
      </w:r>
      <w:r>
        <w:rPr>
          <w:rFonts w:ascii="Times New Roman" w:eastAsia="仿宋" w:hAnsi="Times New Roman" w:cs="Times New Roman"/>
          <w:sz w:val="32"/>
          <w:szCs w:val="32"/>
        </w:rPr>
        <w:t>“</w:t>
      </w:r>
      <w:r>
        <w:rPr>
          <w:rFonts w:ascii="Times New Roman" w:eastAsia="仿宋" w:hAnsi="Times New Roman" w:cs="Times New Roman"/>
          <w:sz w:val="32"/>
          <w:szCs w:val="32"/>
        </w:rPr>
        <w:t>以上</w:t>
      </w:r>
      <w:r>
        <w:rPr>
          <w:rFonts w:ascii="Times New Roman" w:eastAsia="仿宋" w:hAnsi="Times New Roman" w:cs="Times New Roman"/>
          <w:sz w:val="32"/>
          <w:szCs w:val="32"/>
        </w:rPr>
        <w:t>”“</w:t>
      </w:r>
      <w:r>
        <w:rPr>
          <w:rFonts w:ascii="Times New Roman" w:eastAsia="仿宋" w:hAnsi="Times New Roman" w:cs="Times New Roman"/>
          <w:sz w:val="32"/>
          <w:szCs w:val="32"/>
        </w:rPr>
        <w:t>以内</w:t>
      </w:r>
      <w:r>
        <w:rPr>
          <w:rFonts w:ascii="Times New Roman" w:eastAsia="仿宋" w:hAnsi="Times New Roman" w:cs="Times New Roman"/>
          <w:sz w:val="32"/>
          <w:szCs w:val="32"/>
        </w:rPr>
        <w:t>”“</w:t>
      </w:r>
      <w:r>
        <w:rPr>
          <w:rFonts w:ascii="Times New Roman" w:eastAsia="仿宋" w:hAnsi="Times New Roman" w:cs="Times New Roman"/>
          <w:sz w:val="32"/>
          <w:szCs w:val="32"/>
        </w:rPr>
        <w:t>不低于</w:t>
      </w:r>
      <w:r>
        <w:rPr>
          <w:rFonts w:ascii="Times New Roman" w:eastAsia="仿宋" w:hAnsi="Times New Roman" w:cs="Times New Roman"/>
          <w:sz w:val="32"/>
          <w:szCs w:val="32"/>
        </w:rPr>
        <w:t>”“</w:t>
      </w:r>
      <w:r>
        <w:rPr>
          <w:rFonts w:ascii="Times New Roman" w:eastAsia="仿宋" w:hAnsi="Times New Roman" w:cs="Times New Roman"/>
          <w:sz w:val="32"/>
          <w:szCs w:val="32"/>
        </w:rPr>
        <w:t>不超过</w:t>
      </w:r>
      <w:r>
        <w:rPr>
          <w:rFonts w:ascii="Times New Roman" w:eastAsia="仿宋" w:hAnsi="Times New Roman" w:cs="Times New Roman"/>
          <w:sz w:val="32"/>
          <w:szCs w:val="32"/>
        </w:rPr>
        <w:t>”“</w:t>
      </w:r>
      <w:r>
        <w:rPr>
          <w:rFonts w:ascii="Times New Roman" w:eastAsia="仿宋" w:hAnsi="Times New Roman" w:cs="Times New Roman"/>
          <w:sz w:val="32"/>
          <w:szCs w:val="32"/>
        </w:rPr>
        <w:t>不少于</w:t>
      </w:r>
      <w:r>
        <w:rPr>
          <w:rFonts w:ascii="Times New Roman" w:eastAsia="仿宋" w:hAnsi="Times New Roman" w:cs="Times New Roman"/>
          <w:sz w:val="32"/>
          <w:szCs w:val="32"/>
        </w:rPr>
        <w:t>”</w:t>
      </w:r>
      <w:r>
        <w:rPr>
          <w:rFonts w:ascii="Times New Roman" w:eastAsia="仿宋" w:hAnsi="Times New Roman" w:cs="Times New Roman"/>
          <w:sz w:val="32"/>
          <w:szCs w:val="32"/>
        </w:rPr>
        <w:t>等均包括本数，</w:t>
      </w:r>
      <w:r>
        <w:rPr>
          <w:rFonts w:ascii="Times New Roman" w:eastAsia="仿宋" w:hAnsi="Times New Roman" w:cs="Times New Roman"/>
          <w:sz w:val="32"/>
          <w:szCs w:val="32"/>
        </w:rPr>
        <w:t>“</w:t>
      </w:r>
      <w:r>
        <w:rPr>
          <w:rFonts w:ascii="Times New Roman" w:eastAsia="仿宋" w:hAnsi="Times New Roman" w:cs="Times New Roman"/>
          <w:sz w:val="32"/>
          <w:szCs w:val="32"/>
        </w:rPr>
        <w:t>超过</w:t>
      </w:r>
      <w:r>
        <w:rPr>
          <w:rFonts w:ascii="Times New Roman" w:eastAsia="仿宋" w:hAnsi="Times New Roman" w:cs="Times New Roman"/>
          <w:sz w:val="32"/>
          <w:szCs w:val="32"/>
        </w:rPr>
        <w:t>”“</w:t>
      </w:r>
      <w:r>
        <w:rPr>
          <w:rFonts w:ascii="Times New Roman" w:eastAsia="仿宋" w:hAnsi="Times New Roman" w:cs="Times New Roman"/>
          <w:sz w:val="32"/>
          <w:szCs w:val="32"/>
        </w:rPr>
        <w:t>不足</w:t>
      </w:r>
      <w:r>
        <w:rPr>
          <w:rFonts w:ascii="Times New Roman" w:eastAsia="仿宋" w:hAnsi="Times New Roman" w:cs="Times New Roman"/>
          <w:sz w:val="32"/>
          <w:szCs w:val="32"/>
        </w:rPr>
        <w:t>”</w:t>
      </w:r>
      <w:r>
        <w:rPr>
          <w:rFonts w:ascii="Times New Roman" w:eastAsia="仿宋" w:hAnsi="Times New Roman" w:cs="Times New Roman" w:hint="eastAsia"/>
          <w:sz w:val="32"/>
          <w:szCs w:val="32"/>
        </w:rPr>
        <w:t>“大于”“小于”</w:t>
      </w:r>
      <w:r>
        <w:rPr>
          <w:rFonts w:ascii="Times New Roman" w:eastAsia="仿宋" w:hAnsi="Times New Roman" w:cs="Times New Roman"/>
          <w:sz w:val="32"/>
          <w:szCs w:val="32"/>
        </w:rPr>
        <w:t>不包含本数。</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三十九</w:t>
      </w:r>
      <w:r>
        <w:rPr>
          <w:rFonts w:ascii="Times New Roman" w:eastAsia="仿宋" w:hAnsi="Times New Roman" w:cs="Times New Roman"/>
          <w:b/>
          <w:bCs/>
          <w:sz w:val="32"/>
          <w:szCs w:val="32"/>
        </w:rPr>
        <w:t>条</w:t>
      </w:r>
      <w:r>
        <w:rPr>
          <w:rFonts w:ascii="Times New Roman" w:eastAsia="仿宋" w:hAnsi="Times New Roman" w:cs="Times New Roman" w:hint="eastAsia"/>
          <w:sz w:val="32"/>
          <w:szCs w:val="32"/>
        </w:rPr>
        <w:t xml:space="preserve">  </w:t>
      </w:r>
      <w:r>
        <w:rPr>
          <w:rFonts w:ascii="Times New Roman" w:eastAsia="仿宋" w:hAnsi="Times New Roman" w:cs="Times New Roman" w:hint="eastAsia"/>
          <w:sz w:val="32"/>
          <w:szCs w:val="32"/>
        </w:rPr>
        <w:t>烟草专卖许可证的有效期限最长为五年，具体有效期限由井研县烟草专卖局根据实际情况另行规定。</w:t>
      </w:r>
    </w:p>
    <w:p w:rsidR="000065D8" w:rsidRDefault="0008672C">
      <w:pPr>
        <w:overflowPunct w:val="0"/>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第</w:t>
      </w:r>
      <w:r>
        <w:rPr>
          <w:rFonts w:ascii="Times New Roman" w:eastAsia="仿宋" w:hAnsi="Times New Roman" w:cs="Times New Roman" w:hint="eastAsia"/>
          <w:b/>
          <w:bCs/>
          <w:sz w:val="32"/>
          <w:szCs w:val="32"/>
        </w:rPr>
        <w:t>四十</w:t>
      </w:r>
      <w:r w:rsidR="00024A49">
        <w:rPr>
          <w:rFonts w:ascii="Times New Roman" w:eastAsia="仿宋" w:hAnsi="Times New Roman" w:cs="Times New Roman"/>
          <w:b/>
          <w:bCs/>
          <w:sz w:val="32"/>
          <w:szCs w:val="32"/>
        </w:rPr>
        <w:t>条</w:t>
      </w:r>
      <w:r w:rsidR="00024A49">
        <w:rPr>
          <w:rFonts w:ascii="Times New Roman" w:eastAsia="仿宋" w:hAnsi="Times New Roman" w:cs="Times New Roman" w:hint="eastAsia"/>
          <w:b/>
          <w:bCs/>
          <w:sz w:val="32"/>
          <w:szCs w:val="32"/>
        </w:rPr>
        <w:t xml:space="preserve">  </w:t>
      </w:r>
      <w:r>
        <w:rPr>
          <w:rFonts w:ascii="Times New Roman" w:eastAsia="仿宋" w:hAnsi="Times New Roman" w:cs="Times New Roman"/>
          <w:sz w:val="32"/>
          <w:szCs w:val="32"/>
        </w:rPr>
        <w:t>本规划</w:t>
      </w:r>
      <w:r>
        <w:rPr>
          <w:rFonts w:ascii="Times New Roman" w:eastAsia="仿宋" w:hAnsi="Times New Roman" w:cs="Times New Roman" w:hint="eastAsia"/>
          <w:sz w:val="32"/>
          <w:szCs w:val="32"/>
        </w:rPr>
        <w:t>由井研县烟草专卖局负责解释，本规划公示</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日以后于</w:t>
      </w:r>
      <w:r>
        <w:rPr>
          <w:rFonts w:ascii="Times New Roman" w:eastAsia="仿宋" w:hAnsi="Times New Roman" w:cs="Times New Roman" w:hint="eastAsia"/>
          <w:sz w:val="32"/>
          <w:szCs w:val="32"/>
        </w:rPr>
        <w:t>2026</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22</w:t>
      </w:r>
      <w:r>
        <w:rPr>
          <w:rFonts w:ascii="Times New Roman" w:eastAsia="仿宋" w:hAnsi="Times New Roman" w:cs="Times New Roman" w:hint="eastAsia"/>
          <w:sz w:val="32"/>
          <w:szCs w:val="32"/>
        </w:rPr>
        <w:t>日起施行，有效期为五年。井研县烟草专卖局于</w:t>
      </w:r>
      <w:r>
        <w:rPr>
          <w:rFonts w:ascii="Times New Roman" w:eastAsia="仿宋" w:hAnsi="Times New Roman" w:cs="Times New Roman" w:hint="eastAsia"/>
          <w:sz w:val="32"/>
          <w:szCs w:val="32"/>
        </w:rPr>
        <w:t>2021</w:t>
      </w:r>
      <w:r>
        <w:rPr>
          <w:rFonts w:ascii="Times New Roman" w:eastAsia="仿宋" w:hAnsi="Times New Roman" w:cs="Times New Roman" w:hint="eastAsia"/>
          <w:sz w:val="32"/>
          <w:szCs w:val="32"/>
        </w:rPr>
        <w:t>年</w:t>
      </w:r>
      <w:r>
        <w:rPr>
          <w:rFonts w:ascii="Times New Roman" w:eastAsia="仿宋" w:hAnsi="Times New Roman" w:cs="Times New Roman" w:hint="eastAsia"/>
          <w:sz w:val="32"/>
          <w:szCs w:val="32"/>
        </w:rPr>
        <w:t>12</w:t>
      </w:r>
      <w:r>
        <w:rPr>
          <w:rFonts w:ascii="Times New Roman" w:eastAsia="仿宋" w:hAnsi="Times New Roman" w:cs="Times New Roman" w:hint="eastAsia"/>
          <w:sz w:val="32"/>
          <w:szCs w:val="32"/>
        </w:rPr>
        <w:t>月</w:t>
      </w:r>
      <w:r>
        <w:rPr>
          <w:rFonts w:ascii="Times New Roman" w:eastAsia="仿宋" w:hAnsi="Times New Roman" w:cs="Times New Roman" w:hint="eastAsia"/>
          <w:sz w:val="32"/>
          <w:szCs w:val="32"/>
        </w:rPr>
        <w:t>17</w:t>
      </w:r>
      <w:r>
        <w:rPr>
          <w:rFonts w:ascii="Times New Roman" w:eastAsia="仿宋" w:hAnsi="Times New Roman" w:cs="Times New Roman" w:hint="eastAsia"/>
          <w:sz w:val="32"/>
          <w:szCs w:val="32"/>
        </w:rPr>
        <w:t>日公布的《井研县烟草专卖局烟草制品零售点合理布局规划（</w:t>
      </w:r>
      <w:r>
        <w:rPr>
          <w:rFonts w:ascii="Times New Roman" w:eastAsia="仿宋" w:hAnsi="Times New Roman" w:cs="Times New Roman" w:hint="eastAsia"/>
          <w:sz w:val="32"/>
          <w:szCs w:val="32"/>
        </w:rPr>
        <w:t>2021-2025</w:t>
      </w:r>
      <w:r>
        <w:rPr>
          <w:rFonts w:ascii="Times New Roman" w:eastAsia="仿宋" w:hAnsi="Times New Roman" w:cs="Times New Roman" w:hint="eastAsia"/>
          <w:sz w:val="32"/>
          <w:szCs w:val="32"/>
        </w:rPr>
        <w:lastRenderedPageBreak/>
        <w:t>年）》同时废止。</w:t>
      </w:r>
    </w:p>
    <w:sectPr w:rsidR="000065D8" w:rsidSect="000065D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72C" w:rsidRDefault="0008672C" w:rsidP="000065D8">
      <w:r>
        <w:separator/>
      </w:r>
    </w:p>
  </w:endnote>
  <w:endnote w:type="continuationSeparator" w:id="1">
    <w:p w:rsidR="0008672C" w:rsidRDefault="0008672C" w:rsidP="00006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仿宋">
    <w:altName w:val="仿宋"/>
    <w:charset w:val="86"/>
    <w:family w:val="script"/>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0000600000000000000"/>
    <w:charset w:val="86"/>
    <w:family w:val="auto"/>
    <w:pitch w:val="variable"/>
    <w:sig w:usb0="800002BF" w:usb1="184F6CF8" w:usb2="00000012" w:usb3="00000000" w:csb0="0016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908659"/>
    </w:sdtPr>
    <w:sdtContent>
      <w:sdt>
        <w:sdtPr>
          <w:id w:val="-1669238322"/>
          <w:showingPlcHdr/>
        </w:sdtPr>
        <w:sdtContent>
          <w:p w:rsidR="000065D8" w:rsidRDefault="007A3150">
            <w:pPr>
              <w:pStyle w:val="a5"/>
              <w:jc w:val="center"/>
            </w:pPr>
            <w:r>
              <w:t xml:space="preserve">     </w:t>
            </w:r>
          </w:p>
        </w:sdtContent>
      </w:sdt>
    </w:sdtContent>
  </w:sdt>
  <w:p w:rsidR="000065D8" w:rsidRDefault="000065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72C" w:rsidRDefault="0008672C" w:rsidP="000065D8">
      <w:r>
        <w:separator/>
      </w:r>
    </w:p>
  </w:footnote>
  <w:footnote w:type="continuationSeparator" w:id="1">
    <w:p w:rsidR="0008672C" w:rsidRDefault="0008672C" w:rsidP="000065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B10BE4"/>
    <w:multiLevelType w:val="singleLevel"/>
    <w:tmpl w:val="62F02E56"/>
    <w:lvl w:ilvl="0">
      <w:start w:val="19"/>
      <w:numFmt w:val="chineseCounting"/>
      <w:suff w:val="space"/>
      <w:lvlText w:val="第%1条"/>
      <w:lvlJc w:val="left"/>
      <w:rPr>
        <w:rFonts w:hint="eastAsia"/>
        <w:b/>
      </w:rPr>
    </w:lvl>
  </w:abstractNum>
  <w:abstractNum w:abstractNumId="1">
    <w:nsid w:val="865C76F0"/>
    <w:multiLevelType w:val="singleLevel"/>
    <w:tmpl w:val="865C76F0"/>
    <w:lvl w:ilvl="0">
      <w:start w:val="9"/>
      <w:numFmt w:val="chineseCounting"/>
      <w:suff w:val="space"/>
      <w:lvlText w:val="第%1章"/>
      <w:lvlJc w:val="left"/>
      <w:rPr>
        <w:rFonts w:hint="eastAsia"/>
      </w:rPr>
    </w:lvl>
  </w:abstractNum>
  <w:abstractNum w:abstractNumId="2">
    <w:nsid w:val="1B4E0E15"/>
    <w:multiLevelType w:val="singleLevel"/>
    <w:tmpl w:val="1B4E0E15"/>
    <w:lvl w:ilvl="0">
      <w:start w:val="1"/>
      <w:numFmt w:val="chineseCounting"/>
      <w:suff w:val="nothing"/>
      <w:lvlText w:val="（%1）"/>
      <w:lvlJc w:val="left"/>
      <w:rPr>
        <w:rFonts w:hint="eastAsia"/>
      </w:rPr>
    </w:lvl>
  </w:abstractNum>
  <w:abstractNum w:abstractNumId="3">
    <w:nsid w:val="358BD50D"/>
    <w:multiLevelType w:val="multilevel"/>
    <w:tmpl w:val="358BD50D"/>
    <w:lvl w:ilvl="0">
      <w:start w:val="1"/>
      <w:numFmt w:val="chineseCounting"/>
      <w:suff w:val="nothing"/>
      <w:lvlText w:val="（%1）"/>
      <w:lvlJc w:val="left"/>
      <w:pPr>
        <w:ind w:left="-10"/>
      </w:pPr>
      <w:rPr>
        <w:rFonts w:hint="eastAsia"/>
      </w:rPr>
    </w:lvl>
    <w:lvl w:ilvl="1">
      <w:start w:val="1"/>
      <w:numFmt w:val="decimal"/>
      <w:suff w:val="nothing"/>
      <w:lvlText w:val="%2．"/>
      <w:lvlJc w:val="left"/>
      <w:pPr>
        <w:ind w:left="200"/>
      </w:pPr>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4">
    <w:nsid w:val="3A74AA3C"/>
    <w:multiLevelType w:val="singleLevel"/>
    <w:tmpl w:val="3A74AA3C"/>
    <w:lvl w:ilvl="0">
      <w:start w:val="3"/>
      <w:numFmt w:val="chineseCounting"/>
      <w:suff w:val="space"/>
      <w:lvlText w:val="第%1章"/>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noPunctuationKerning/>
  <w:characterSpacingControl w:val="doNotCompress"/>
  <w:footnotePr>
    <w:footnote w:id="0"/>
    <w:footnote w:id="1"/>
  </w:footnotePr>
  <w:endnotePr>
    <w:endnote w:id="0"/>
    <w:endnote w:id="1"/>
  </w:endnotePr>
  <w:compat>
    <w:doNotExpandShiftReturn/>
    <w:useFELayout/>
  </w:compat>
  <w:rsids>
    <w:rsidRoot w:val="00212474"/>
    <w:rsid w:val="00000E0D"/>
    <w:rsid w:val="00002E24"/>
    <w:rsid w:val="0000639B"/>
    <w:rsid w:val="000065D8"/>
    <w:rsid w:val="00006680"/>
    <w:rsid w:val="000136AA"/>
    <w:rsid w:val="00013B60"/>
    <w:rsid w:val="000140CB"/>
    <w:rsid w:val="00015B20"/>
    <w:rsid w:val="00016BD0"/>
    <w:rsid w:val="00024A49"/>
    <w:rsid w:val="00031A63"/>
    <w:rsid w:val="000425BB"/>
    <w:rsid w:val="00043C68"/>
    <w:rsid w:val="00044336"/>
    <w:rsid w:val="00045195"/>
    <w:rsid w:val="00046535"/>
    <w:rsid w:val="00050A37"/>
    <w:rsid w:val="00050BE1"/>
    <w:rsid w:val="00054583"/>
    <w:rsid w:val="00070C47"/>
    <w:rsid w:val="000716B7"/>
    <w:rsid w:val="00075351"/>
    <w:rsid w:val="00081E30"/>
    <w:rsid w:val="00084AA2"/>
    <w:rsid w:val="0008672C"/>
    <w:rsid w:val="00086BA8"/>
    <w:rsid w:val="00094DC7"/>
    <w:rsid w:val="00095490"/>
    <w:rsid w:val="0009789F"/>
    <w:rsid w:val="00097CF2"/>
    <w:rsid w:val="000A22FE"/>
    <w:rsid w:val="000A5E87"/>
    <w:rsid w:val="000B0D5B"/>
    <w:rsid w:val="000B212B"/>
    <w:rsid w:val="000B2E31"/>
    <w:rsid w:val="000B2FFB"/>
    <w:rsid w:val="000B5A59"/>
    <w:rsid w:val="000C25FB"/>
    <w:rsid w:val="000C3CA4"/>
    <w:rsid w:val="000D07A8"/>
    <w:rsid w:val="000D1A4B"/>
    <w:rsid w:val="000D4EB8"/>
    <w:rsid w:val="000D6F55"/>
    <w:rsid w:val="000E2ADA"/>
    <w:rsid w:val="000E422B"/>
    <w:rsid w:val="000E5677"/>
    <w:rsid w:val="000E5D48"/>
    <w:rsid w:val="000E6A94"/>
    <w:rsid w:val="000F1338"/>
    <w:rsid w:val="000F2DAE"/>
    <w:rsid w:val="000F542B"/>
    <w:rsid w:val="000F6747"/>
    <w:rsid w:val="000F6E3E"/>
    <w:rsid w:val="00100182"/>
    <w:rsid w:val="00100FE8"/>
    <w:rsid w:val="001078BC"/>
    <w:rsid w:val="001133A2"/>
    <w:rsid w:val="0011449E"/>
    <w:rsid w:val="0011470D"/>
    <w:rsid w:val="00116716"/>
    <w:rsid w:val="0011757D"/>
    <w:rsid w:val="001208D1"/>
    <w:rsid w:val="00121C4E"/>
    <w:rsid w:val="00122FA7"/>
    <w:rsid w:val="00125928"/>
    <w:rsid w:val="00127D93"/>
    <w:rsid w:val="00130D19"/>
    <w:rsid w:val="001312A8"/>
    <w:rsid w:val="001312AC"/>
    <w:rsid w:val="0013182F"/>
    <w:rsid w:val="001325FF"/>
    <w:rsid w:val="0013401A"/>
    <w:rsid w:val="001340DB"/>
    <w:rsid w:val="00140407"/>
    <w:rsid w:val="00143ADA"/>
    <w:rsid w:val="0014448D"/>
    <w:rsid w:val="00153E87"/>
    <w:rsid w:val="001565AE"/>
    <w:rsid w:val="001613F9"/>
    <w:rsid w:val="00161974"/>
    <w:rsid w:val="0016258A"/>
    <w:rsid w:val="00166229"/>
    <w:rsid w:val="00166719"/>
    <w:rsid w:val="001726B8"/>
    <w:rsid w:val="001729F8"/>
    <w:rsid w:val="00173C07"/>
    <w:rsid w:val="00174235"/>
    <w:rsid w:val="00177934"/>
    <w:rsid w:val="00182D14"/>
    <w:rsid w:val="0018377B"/>
    <w:rsid w:val="001839E9"/>
    <w:rsid w:val="00184015"/>
    <w:rsid w:val="001855FB"/>
    <w:rsid w:val="001946E3"/>
    <w:rsid w:val="00195DDB"/>
    <w:rsid w:val="001A4726"/>
    <w:rsid w:val="001A761A"/>
    <w:rsid w:val="001A7DD0"/>
    <w:rsid w:val="001B11B4"/>
    <w:rsid w:val="001B1CCE"/>
    <w:rsid w:val="001B3E68"/>
    <w:rsid w:val="001B5EBE"/>
    <w:rsid w:val="001C4545"/>
    <w:rsid w:val="001C5D45"/>
    <w:rsid w:val="001D19C5"/>
    <w:rsid w:val="001D6228"/>
    <w:rsid w:val="001D6E9D"/>
    <w:rsid w:val="001D6FD4"/>
    <w:rsid w:val="001E08DF"/>
    <w:rsid w:val="001E3DA4"/>
    <w:rsid w:val="001E6E48"/>
    <w:rsid w:val="001F0DB9"/>
    <w:rsid w:val="001F63D9"/>
    <w:rsid w:val="0020075A"/>
    <w:rsid w:val="002017CD"/>
    <w:rsid w:val="002020EB"/>
    <w:rsid w:val="002022E5"/>
    <w:rsid w:val="002024C6"/>
    <w:rsid w:val="00202CD6"/>
    <w:rsid w:val="00206B2E"/>
    <w:rsid w:val="0020785D"/>
    <w:rsid w:val="00211ADE"/>
    <w:rsid w:val="00212474"/>
    <w:rsid w:val="00213CA6"/>
    <w:rsid w:val="0021428A"/>
    <w:rsid w:val="00214911"/>
    <w:rsid w:val="00220DA0"/>
    <w:rsid w:val="002244DE"/>
    <w:rsid w:val="00232396"/>
    <w:rsid w:val="00232760"/>
    <w:rsid w:val="00233083"/>
    <w:rsid w:val="0023391E"/>
    <w:rsid w:val="00234231"/>
    <w:rsid w:val="002349E5"/>
    <w:rsid w:val="00236566"/>
    <w:rsid w:val="00237596"/>
    <w:rsid w:val="00245EDC"/>
    <w:rsid w:val="00250D53"/>
    <w:rsid w:val="00252E73"/>
    <w:rsid w:val="0025673A"/>
    <w:rsid w:val="00262894"/>
    <w:rsid w:val="00262A09"/>
    <w:rsid w:val="002638EA"/>
    <w:rsid w:val="00266BB9"/>
    <w:rsid w:val="0027668E"/>
    <w:rsid w:val="00285C49"/>
    <w:rsid w:val="00290342"/>
    <w:rsid w:val="002930FF"/>
    <w:rsid w:val="0029448E"/>
    <w:rsid w:val="002970AF"/>
    <w:rsid w:val="00297712"/>
    <w:rsid w:val="00297801"/>
    <w:rsid w:val="002A059E"/>
    <w:rsid w:val="002A0D42"/>
    <w:rsid w:val="002A5BD4"/>
    <w:rsid w:val="002A6F0A"/>
    <w:rsid w:val="002B6C6A"/>
    <w:rsid w:val="002B6DF7"/>
    <w:rsid w:val="002D31A2"/>
    <w:rsid w:val="002D41D5"/>
    <w:rsid w:val="002D5F00"/>
    <w:rsid w:val="002D60ED"/>
    <w:rsid w:val="002F13D3"/>
    <w:rsid w:val="002F1BB3"/>
    <w:rsid w:val="002F214D"/>
    <w:rsid w:val="002F2881"/>
    <w:rsid w:val="002F3696"/>
    <w:rsid w:val="002F71BA"/>
    <w:rsid w:val="00301F2D"/>
    <w:rsid w:val="00302130"/>
    <w:rsid w:val="003035C3"/>
    <w:rsid w:val="00304E24"/>
    <w:rsid w:val="00305210"/>
    <w:rsid w:val="00306F44"/>
    <w:rsid w:val="003113BC"/>
    <w:rsid w:val="0031398F"/>
    <w:rsid w:val="003169D2"/>
    <w:rsid w:val="00316C7E"/>
    <w:rsid w:val="00321355"/>
    <w:rsid w:val="003229F5"/>
    <w:rsid w:val="00332F21"/>
    <w:rsid w:val="00340BE1"/>
    <w:rsid w:val="00341A43"/>
    <w:rsid w:val="00341AB0"/>
    <w:rsid w:val="00344B7E"/>
    <w:rsid w:val="00347350"/>
    <w:rsid w:val="00351D37"/>
    <w:rsid w:val="003546DE"/>
    <w:rsid w:val="00360AEC"/>
    <w:rsid w:val="003615A7"/>
    <w:rsid w:val="00361960"/>
    <w:rsid w:val="0036441C"/>
    <w:rsid w:val="00365E4A"/>
    <w:rsid w:val="003721FC"/>
    <w:rsid w:val="00372ECA"/>
    <w:rsid w:val="003747E9"/>
    <w:rsid w:val="00374935"/>
    <w:rsid w:val="00376E66"/>
    <w:rsid w:val="00383D88"/>
    <w:rsid w:val="00383E5F"/>
    <w:rsid w:val="0039365A"/>
    <w:rsid w:val="00396E41"/>
    <w:rsid w:val="00397C91"/>
    <w:rsid w:val="003A1586"/>
    <w:rsid w:val="003A298D"/>
    <w:rsid w:val="003A6911"/>
    <w:rsid w:val="003A793A"/>
    <w:rsid w:val="003B2C05"/>
    <w:rsid w:val="003B56F5"/>
    <w:rsid w:val="003C27D9"/>
    <w:rsid w:val="003C682C"/>
    <w:rsid w:val="003D10B2"/>
    <w:rsid w:val="003D297B"/>
    <w:rsid w:val="003D6796"/>
    <w:rsid w:val="003E0673"/>
    <w:rsid w:val="003E2D9F"/>
    <w:rsid w:val="003E6A16"/>
    <w:rsid w:val="003E7033"/>
    <w:rsid w:val="003F2AA9"/>
    <w:rsid w:val="003F2D7B"/>
    <w:rsid w:val="003F2E01"/>
    <w:rsid w:val="003F32F6"/>
    <w:rsid w:val="0040092A"/>
    <w:rsid w:val="00401B46"/>
    <w:rsid w:val="004043F4"/>
    <w:rsid w:val="00405A2E"/>
    <w:rsid w:val="00407AAF"/>
    <w:rsid w:val="00410938"/>
    <w:rsid w:val="00411F7F"/>
    <w:rsid w:val="00414E6F"/>
    <w:rsid w:val="00420594"/>
    <w:rsid w:val="00420685"/>
    <w:rsid w:val="00424146"/>
    <w:rsid w:val="00425C94"/>
    <w:rsid w:val="0043410A"/>
    <w:rsid w:val="00436AFC"/>
    <w:rsid w:val="00437957"/>
    <w:rsid w:val="00444392"/>
    <w:rsid w:val="00445A6E"/>
    <w:rsid w:val="0045186F"/>
    <w:rsid w:val="00451920"/>
    <w:rsid w:val="004541B9"/>
    <w:rsid w:val="004546B8"/>
    <w:rsid w:val="004553FC"/>
    <w:rsid w:val="00456FCA"/>
    <w:rsid w:val="0045744F"/>
    <w:rsid w:val="00457A13"/>
    <w:rsid w:val="00460BCA"/>
    <w:rsid w:val="004612E9"/>
    <w:rsid w:val="00462D52"/>
    <w:rsid w:val="00465E1A"/>
    <w:rsid w:val="00467EE5"/>
    <w:rsid w:val="00470DB8"/>
    <w:rsid w:val="004718C5"/>
    <w:rsid w:val="004770A5"/>
    <w:rsid w:val="00481FF5"/>
    <w:rsid w:val="00485F51"/>
    <w:rsid w:val="00487E29"/>
    <w:rsid w:val="00491C95"/>
    <w:rsid w:val="00493BB8"/>
    <w:rsid w:val="004A085E"/>
    <w:rsid w:val="004A183A"/>
    <w:rsid w:val="004A637E"/>
    <w:rsid w:val="004B538E"/>
    <w:rsid w:val="004B5C28"/>
    <w:rsid w:val="004C3C12"/>
    <w:rsid w:val="004C3C9E"/>
    <w:rsid w:val="004C4E8C"/>
    <w:rsid w:val="004C5148"/>
    <w:rsid w:val="004C65E0"/>
    <w:rsid w:val="004D1141"/>
    <w:rsid w:val="004D4637"/>
    <w:rsid w:val="004D5321"/>
    <w:rsid w:val="004E2F55"/>
    <w:rsid w:val="004E531D"/>
    <w:rsid w:val="004F0991"/>
    <w:rsid w:val="004F1961"/>
    <w:rsid w:val="005069E2"/>
    <w:rsid w:val="00506D1A"/>
    <w:rsid w:val="005071C5"/>
    <w:rsid w:val="00512F60"/>
    <w:rsid w:val="0051482C"/>
    <w:rsid w:val="00514861"/>
    <w:rsid w:val="005148D6"/>
    <w:rsid w:val="005176C5"/>
    <w:rsid w:val="005231AD"/>
    <w:rsid w:val="00525DC0"/>
    <w:rsid w:val="005262D1"/>
    <w:rsid w:val="00526834"/>
    <w:rsid w:val="00535336"/>
    <w:rsid w:val="00541B51"/>
    <w:rsid w:val="005440FA"/>
    <w:rsid w:val="00545357"/>
    <w:rsid w:val="005455D5"/>
    <w:rsid w:val="00547749"/>
    <w:rsid w:val="005479B8"/>
    <w:rsid w:val="0055419B"/>
    <w:rsid w:val="005559D5"/>
    <w:rsid w:val="005568C0"/>
    <w:rsid w:val="00561581"/>
    <w:rsid w:val="0056191E"/>
    <w:rsid w:val="00563548"/>
    <w:rsid w:val="00563976"/>
    <w:rsid w:val="0056700C"/>
    <w:rsid w:val="00570D8A"/>
    <w:rsid w:val="00571A19"/>
    <w:rsid w:val="00574697"/>
    <w:rsid w:val="00575419"/>
    <w:rsid w:val="005755EC"/>
    <w:rsid w:val="005758CF"/>
    <w:rsid w:val="00575C19"/>
    <w:rsid w:val="00576E75"/>
    <w:rsid w:val="00582EEF"/>
    <w:rsid w:val="00583437"/>
    <w:rsid w:val="00586F36"/>
    <w:rsid w:val="005879E9"/>
    <w:rsid w:val="00594625"/>
    <w:rsid w:val="0059713C"/>
    <w:rsid w:val="00597EDC"/>
    <w:rsid w:val="005A1B9A"/>
    <w:rsid w:val="005A3FDB"/>
    <w:rsid w:val="005A6B83"/>
    <w:rsid w:val="005A760D"/>
    <w:rsid w:val="005B3030"/>
    <w:rsid w:val="005B6087"/>
    <w:rsid w:val="005B6BE9"/>
    <w:rsid w:val="005B77C4"/>
    <w:rsid w:val="005C3BD3"/>
    <w:rsid w:val="005C7703"/>
    <w:rsid w:val="005D3948"/>
    <w:rsid w:val="005D3A8A"/>
    <w:rsid w:val="005D447D"/>
    <w:rsid w:val="005D4603"/>
    <w:rsid w:val="005D648C"/>
    <w:rsid w:val="005D7F44"/>
    <w:rsid w:val="005E07DE"/>
    <w:rsid w:val="005E15ED"/>
    <w:rsid w:val="005E5DFA"/>
    <w:rsid w:val="005F060A"/>
    <w:rsid w:val="005F2B2B"/>
    <w:rsid w:val="005F3181"/>
    <w:rsid w:val="005F79FC"/>
    <w:rsid w:val="00602E80"/>
    <w:rsid w:val="00603BF8"/>
    <w:rsid w:val="00605103"/>
    <w:rsid w:val="00605165"/>
    <w:rsid w:val="006119A4"/>
    <w:rsid w:val="00613AFE"/>
    <w:rsid w:val="006150C2"/>
    <w:rsid w:val="006157FC"/>
    <w:rsid w:val="00616FEB"/>
    <w:rsid w:val="00617134"/>
    <w:rsid w:val="006171AD"/>
    <w:rsid w:val="0061723D"/>
    <w:rsid w:val="00623BE5"/>
    <w:rsid w:val="00626454"/>
    <w:rsid w:val="00627B34"/>
    <w:rsid w:val="00631947"/>
    <w:rsid w:val="00635502"/>
    <w:rsid w:val="0063703A"/>
    <w:rsid w:val="006378E2"/>
    <w:rsid w:val="00637C8E"/>
    <w:rsid w:val="00641EDA"/>
    <w:rsid w:val="0064361B"/>
    <w:rsid w:val="00643A25"/>
    <w:rsid w:val="00646CC5"/>
    <w:rsid w:val="006477C5"/>
    <w:rsid w:val="00650B44"/>
    <w:rsid w:val="00651CC0"/>
    <w:rsid w:val="00653AEF"/>
    <w:rsid w:val="00654451"/>
    <w:rsid w:val="0066054C"/>
    <w:rsid w:val="00666553"/>
    <w:rsid w:val="00666EE4"/>
    <w:rsid w:val="00670B93"/>
    <w:rsid w:val="00671FE9"/>
    <w:rsid w:val="0067314A"/>
    <w:rsid w:val="006756BF"/>
    <w:rsid w:val="0068156A"/>
    <w:rsid w:val="006838FD"/>
    <w:rsid w:val="0069315E"/>
    <w:rsid w:val="00693DCC"/>
    <w:rsid w:val="0069509B"/>
    <w:rsid w:val="006961DD"/>
    <w:rsid w:val="006A038B"/>
    <w:rsid w:val="006A05C9"/>
    <w:rsid w:val="006A0E3F"/>
    <w:rsid w:val="006A3C59"/>
    <w:rsid w:val="006B0513"/>
    <w:rsid w:val="006B1279"/>
    <w:rsid w:val="006B4B36"/>
    <w:rsid w:val="006C30BF"/>
    <w:rsid w:val="006C4086"/>
    <w:rsid w:val="006C47C5"/>
    <w:rsid w:val="006C4E1A"/>
    <w:rsid w:val="006D1256"/>
    <w:rsid w:val="006D3707"/>
    <w:rsid w:val="006D3AF9"/>
    <w:rsid w:val="006D426F"/>
    <w:rsid w:val="006D4C22"/>
    <w:rsid w:val="006D51F6"/>
    <w:rsid w:val="006E01A7"/>
    <w:rsid w:val="006E0289"/>
    <w:rsid w:val="006E1865"/>
    <w:rsid w:val="006E4ECD"/>
    <w:rsid w:val="006E583F"/>
    <w:rsid w:val="006F55FE"/>
    <w:rsid w:val="006F6408"/>
    <w:rsid w:val="006F6611"/>
    <w:rsid w:val="007013CC"/>
    <w:rsid w:val="007039D2"/>
    <w:rsid w:val="007067F5"/>
    <w:rsid w:val="00713A48"/>
    <w:rsid w:val="00716556"/>
    <w:rsid w:val="00722323"/>
    <w:rsid w:val="00722587"/>
    <w:rsid w:val="007238F5"/>
    <w:rsid w:val="00723B2A"/>
    <w:rsid w:val="00724AEA"/>
    <w:rsid w:val="00726736"/>
    <w:rsid w:val="0072699D"/>
    <w:rsid w:val="00735786"/>
    <w:rsid w:val="007361DE"/>
    <w:rsid w:val="00737A58"/>
    <w:rsid w:val="00741ECC"/>
    <w:rsid w:val="00743203"/>
    <w:rsid w:val="00745C0D"/>
    <w:rsid w:val="00746C18"/>
    <w:rsid w:val="00751725"/>
    <w:rsid w:val="00751C66"/>
    <w:rsid w:val="007544B6"/>
    <w:rsid w:val="00761CE1"/>
    <w:rsid w:val="007625CF"/>
    <w:rsid w:val="0076344A"/>
    <w:rsid w:val="00764153"/>
    <w:rsid w:val="007663FC"/>
    <w:rsid w:val="007677E1"/>
    <w:rsid w:val="007702A8"/>
    <w:rsid w:val="00782B81"/>
    <w:rsid w:val="00784D62"/>
    <w:rsid w:val="00786F20"/>
    <w:rsid w:val="00787FBF"/>
    <w:rsid w:val="007A0EC8"/>
    <w:rsid w:val="007A3150"/>
    <w:rsid w:val="007A4BC7"/>
    <w:rsid w:val="007B14DF"/>
    <w:rsid w:val="007B1BA4"/>
    <w:rsid w:val="007B55A8"/>
    <w:rsid w:val="007C0155"/>
    <w:rsid w:val="007C3E7A"/>
    <w:rsid w:val="007C7C6D"/>
    <w:rsid w:val="007D3EA9"/>
    <w:rsid w:val="007D7597"/>
    <w:rsid w:val="007D7812"/>
    <w:rsid w:val="007E2267"/>
    <w:rsid w:val="007E5347"/>
    <w:rsid w:val="007E5B3E"/>
    <w:rsid w:val="007E7F40"/>
    <w:rsid w:val="007F1D8E"/>
    <w:rsid w:val="007F48BB"/>
    <w:rsid w:val="007F535E"/>
    <w:rsid w:val="00801BB2"/>
    <w:rsid w:val="008024AC"/>
    <w:rsid w:val="008032D5"/>
    <w:rsid w:val="00803999"/>
    <w:rsid w:val="008114AD"/>
    <w:rsid w:val="00811826"/>
    <w:rsid w:val="00812420"/>
    <w:rsid w:val="00812CBE"/>
    <w:rsid w:val="00812F94"/>
    <w:rsid w:val="00814EA5"/>
    <w:rsid w:val="008150D0"/>
    <w:rsid w:val="00815B42"/>
    <w:rsid w:val="00816055"/>
    <w:rsid w:val="008166BA"/>
    <w:rsid w:val="00817B8C"/>
    <w:rsid w:val="00823CB0"/>
    <w:rsid w:val="00825084"/>
    <w:rsid w:val="008256FF"/>
    <w:rsid w:val="008272E8"/>
    <w:rsid w:val="0083004A"/>
    <w:rsid w:val="00830AF7"/>
    <w:rsid w:val="00831931"/>
    <w:rsid w:val="00832992"/>
    <w:rsid w:val="00832DAE"/>
    <w:rsid w:val="0083399C"/>
    <w:rsid w:val="008372F0"/>
    <w:rsid w:val="00841993"/>
    <w:rsid w:val="008464EE"/>
    <w:rsid w:val="00850D81"/>
    <w:rsid w:val="00853202"/>
    <w:rsid w:val="00854377"/>
    <w:rsid w:val="00857F74"/>
    <w:rsid w:val="008604CC"/>
    <w:rsid w:val="00860637"/>
    <w:rsid w:val="008649C8"/>
    <w:rsid w:val="00867FA2"/>
    <w:rsid w:val="008719D5"/>
    <w:rsid w:val="008728B3"/>
    <w:rsid w:val="00873B9C"/>
    <w:rsid w:val="0087709D"/>
    <w:rsid w:val="008820A0"/>
    <w:rsid w:val="00882642"/>
    <w:rsid w:val="00882AD0"/>
    <w:rsid w:val="00882BE2"/>
    <w:rsid w:val="0088448A"/>
    <w:rsid w:val="00885768"/>
    <w:rsid w:val="00890283"/>
    <w:rsid w:val="00892B66"/>
    <w:rsid w:val="00892B98"/>
    <w:rsid w:val="00894111"/>
    <w:rsid w:val="00894F74"/>
    <w:rsid w:val="008A108D"/>
    <w:rsid w:val="008A1155"/>
    <w:rsid w:val="008A23E9"/>
    <w:rsid w:val="008A2947"/>
    <w:rsid w:val="008A52C1"/>
    <w:rsid w:val="008A6DC3"/>
    <w:rsid w:val="008B09DF"/>
    <w:rsid w:val="008B0BB9"/>
    <w:rsid w:val="008B1F3E"/>
    <w:rsid w:val="008B2D57"/>
    <w:rsid w:val="008B3959"/>
    <w:rsid w:val="008C13F1"/>
    <w:rsid w:val="008C23FF"/>
    <w:rsid w:val="008C359C"/>
    <w:rsid w:val="008C4EA5"/>
    <w:rsid w:val="008C7A14"/>
    <w:rsid w:val="008C7F80"/>
    <w:rsid w:val="008D0CC2"/>
    <w:rsid w:val="008D3E93"/>
    <w:rsid w:val="008D7B45"/>
    <w:rsid w:val="008E79B6"/>
    <w:rsid w:val="008F1B39"/>
    <w:rsid w:val="008F5A7D"/>
    <w:rsid w:val="008F5F9B"/>
    <w:rsid w:val="008F6287"/>
    <w:rsid w:val="008F6B6A"/>
    <w:rsid w:val="00901507"/>
    <w:rsid w:val="00902636"/>
    <w:rsid w:val="00903E58"/>
    <w:rsid w:val="00917E12"/>
    <w:rsid w:val="009221AB"/>
    <w:rsid w:val="00922DC7"/>
    <w:rsid w:val="00924209"/>
    <w:rsid w:val="00926CD3"/>
    <w:rsid w:val="00926F43"/>
    <w:rsid w:val="00931D0D"/>
    <w:rsid w:val="009323E9"/>
    <w:rsid w:val="009443A2"/>
    <w:rsid w:val="0094707D"/>
    <w:rsid w:val="0094795C"/>
    <w:rsid w:val="00950E62"/>
    <w:rsid w:val="00951156"/>
    <w:rsid w:val="00951312"/>
    <w:rsid w:val="009516AF"/>
    <w:rsid w:val="00952F19"/>
    <w:rsid w:val="00953096"/>
    <w:rsid w:val="009547FC"/>
    <w:rsid w:val="009569C7"/>
    <w:rsid w:val="00960539"/>
    <w:rsid w:val="0096178B"/>
    <w:rsid w:val="009629F2"/>
    <w:rsid w:val="00964718"/>
    <w:rsid w:val="0096623D"/>
    <w:rsid w:val="00966A1A"/>
    <w:rsid w:val="009710D5"/>
    <w:rsid w:val="0097167B"/>
    <w:rsid w:val="00971CD2"/>
    <w:rsid w:val="00977B00"/>
    <w:rsid w:val="0098079C"/>
    <w:rsid w:val="00981607"/>
    <w:rsid w:val="009828EC"/>
    <w:rsid w:val="00984910"/>
    <w:rsid w:val="00984B36"/>
    <w:rsid w:val="00985B5D"/>
    <w:rsid w:val="00986EF5"/>
    <w:rsid w:val="009879F1"/>
    <w:rsid w:val="009912DF"/>
    <w:rsid w:val="00993569"/>
    <w:rsid w:val="00995E2D"/>
    <w:rsid w:val="00997D3D"/>
    <w:rsid w:val="009A150C"/>
    <w:rsid w:val="009A1A5C"/>
    <w:rsid w:val="009A1BC1"/>
    <w:rsid w:val="009B051C"/>
    <w:rsid w:val="009B07C4"/>
    <w:rsid w:val="009B1A48"/>
    <w:rsid w:val="009B6156"/>
    <w:rsid w:val="009B78F4"/>
    <w:rsid w:val="009B7AF5"/>
    <w:rsid w:val="009C0C3D"/>
    <w:rsid w:val="009C1D3B"/>
    <w:rsid w:val="009C1DE8"/>
    <w:rsid w:val="009C77FB"/>
    <w:rsid w:val="009D65AB"/>
    <w:rsid w:val="009E0888"/>
    <w:rsid w:val="009E28AD"/>
    <w:rsid w:val="009F0D07"/>
    <w:rsid w:val="009F1C98"/>
    <w:rsid w:val="009F2798"/>
    <w:rsid w:val="009F2FA6"/>
    <w:rsid w:val="009F4E75"/>
    <w:rsid w:val="009F690A"/>
    <w:rsid w:val="009F7714"/>
    <w:rsid w:val="00A003A9"/>
    <w:rsid w:val="00A01EAD"/>
    <w:rsid w:val="00A04638"/>
    <w:rsid w:val="00A07808"/>
    <w:rsid w:val="00A11165"/>
    <w:rsid w:val="00A11319"/>
    <w:rsid w:val="00A148CE"/>
    <w:rsid w:val="00A167F1"/>
    <w:rsid w:val="00A16BC3"/>
    <w:rsid w:val="00A220CA"/>
    <w:rsid w:val="00A23B6E"/>
    <w:rsid w:val="00A23DF0"/>
    <w:rsid w:val="00A25C90"/>
    <w:rsid w:val="00A30743"/>
    <w:rsid w:val="00A43620"/>
    <w:rsid w:val="00A53C09"/>
    <w:rsid w:val="00A55C2B"/>
    <w:rsid w:val="00A6438E"/>
    <w:rsid w:val="00A7409B"/>
    <w:rsid w:val="00A757A8"/>
    <w:rsid w:val="00A77FD9"/>
    <w:rsid w:val="00A80810"/>
    <w:rsid w:val="00A87C5A"/>
    <w:rsid w:val="00A92019"/>
    <w:rsid w:val="00A93103"/>
    <w:rsid w:val="00AA0B3A"/>
    <w:rsid w:val="00AA1856"/>
    <w:rsid w:val="00AA1955"/>
    <w:rsid w:val="00AA1B1D"/>
    <w:rsid w:val="00AA2033"/>
    <w:rsid w:val="00AA2BE9"/>
    <w:rsid w:val="00AB3A00"/>
    <w:rsid w:val="00AB4055"/>
    <w:rsid w:val="00AB41B7"/>
    <w:rsid w:val="00AB4DD6"/>
    <w:rsid w:val="00AB5DA3"/>
    <w:rsid w:val="00AC0AA2"/>
    <w:rsid w:val="00AC3C1E"/>
    <w:rsid w:val="00AC4854"/>
    <w:rsid w:val="00AC5FA3"/>
    <w:rsid w:val="00AD0971"/>
    <w:rsid w:val="00AD0E84"/>
    <w:rsid w:val="00AD0FE0"/>
    <w:rsid w:val="00AE313B"/>
    <w:rsid w:val="00AE3577"/>
    <w:rsid w:val="00AE4935"/>
    <w:rsid w:val="00AE65AE"/>
    <w:rsid w:val="00AE7701"/>
    <w:rsid w:val="00AE7923"/>
    <w:rsid w:val="00AF0176"/>
    <w:rsid w:val="00AF38C0"/>
    <w:rsid w:val="00AF6285"/>
    <w:rsid w:val="00AF6E63"/>
    <w:rsid w:val="00B02BD0"/>
    <w:rsid w:val="00B053A6"/>
    <w:rsid w:val="00B10086"/>
    <w:rsid w:val="00B16E12"/>
    <w:rsid w:val="00B17EB2"/>
    <w:rsid w:val="00B219C4"/>
    <w:rsid w:val="00B2227F"/>
    <w:rsid w:val="00B2478D"/>
    <w:rsid w:val="00B2560E"/>
    <w:rsid w:val="00B25F4C"/>
    <w:rsid w:val="00B27CB7"/>
    <w:rsid w:val="00B317B3"/>
    <w:rsid w:val="00B3393F"/>
    <w:rsid w:val="00B36CB3"/>
    <w:rsid w:val="00B40301"/>
    <w:rsid w:val="00B436CF"/>
    <w:rsid w:val="00B46696"/>
    <w:rsid w:val="00B50A54"/>
    <w:rsid w:val="00B52423"/>
    <w:rsid w:val="00B524F2"/>
    <w:rsid w:val="00B52813"/>
    <w:rsid w:val="00B562D9"/>
    <w:rsid w:val="00B603A1"/>
    <w:rsid w:val="00B61155"/>
    <w:rsid w:val="00B6361D"/>
    <w:rsid w:val="00B63F50"/>
    <w:rsid w:val="00B64F72"/>
    <w:rsid w:val="00B6778A"/>
    <w:rsid w:val="00B74765"/>
    <w:rsid w:val="00B77DE8"/>
    <w:rsid w:val="00B80830"/>
    <w:rsid w:val="00B82BF0"/>
    <w:rsid w:val="00B855A7"/>
    <w:rsid w:val="00B92340"/>
    <w:rsid w:val="00B93622"/>
    <w:rsid w:val="00BA2A5D"/>
    <w:rsid w:val="00BA48DC"/>
    <w:rsid w:val="00BA5107"/>
    <w:rsid w:val="00BB1E8C"/>
    <w:rsid w:val="00BB259E"/>
    <w:rsid w:val="00BB2E27"/>
    <w:rsid w:val="00BB5D13"/>
    <w:rsid w:val="00BC18B7"/>
    <w:rsid w:val="00BC5644"/>
    <w:rsid w:val="00BC63B2"/>
    <w:rsid w:val="00BD237C"/>
    <w:rsid w:val="00BD3F7D"/>
    <w:rsid w:val="00BD4372"/>
    <w:rsid w:val="00BD5999"/>
    <w:rsid w:val="00BD6C73"/>
    <w:rsid w:val="00BD7969"/>
    <w:rsid w:val="00BE04F1"/>
    <w:rsid w:val="00BE04FA"/>
    <w:rsid w:val="00BE36E5"/>
    <w:rsid w:val="00BE3ECB"/>
    <w:rsid w:val="00BF6951"/>
    <w:rsid w:val="00BF6FFE"/>
    <w:rsid w:val="00C011EC"/>
    <w:rsid w:val="00C021B3"/>
    <w:rsid w:val="00C05C9F"/>
    <w:rsid w:val="00C076BE"/>
    <w:rsid w:val="00C1007C"/>
    <w:rsid w:val="00C2006A"/>
    <w:rsid w:val="00C20EF9"/>
    <w:rsid w:val="00C23092"/>
    <w:rsid w:val="00C23168"/>
    <w:rsid w:val="00C24CE5"/>
    <w:rsid w:val="00C2578E"/>
    <w:rsid w:val="00C30DE4"/>
    <w:rsid w:val="00C32D7F"/>
    <w:rsid w:val="00C349E8"/>
    <w:rsid w:val="00C3545D"/>
    <w:rsid w:val="00C378CF"/>
    <w:rsid w:val="00C41323"/>
    <w:rsid w:val="00C413F2"/>
    <w:rsid w:val="00C4371D"/>
    <w:rsid w:val="00C43877"/>
    <w:rsid w:val="00C43F76"/>
    <w:rsid w:val="00C44A7B"/>
    <w:rsid w:val="00C45DA3"/>
    <w:rsid w:val="00C46B5F"/>
    <w:rsid w:val="00C517E9"/>
    <w:rsid w:val="00C53991"/>
    <w:rsid w:val="00C66345"/>
    <w:rsid w:val="00C72652"/>
    <w:rsid w:val="00C7280D"/>
    <w:rsid w:val="00C73FD6"/>
    <w:rsid w:val="00C748A6"/>
    <w:rsid w:val="00C75736"/>
    <w:rsid w:val="00C77D02"/>
    <w:rsid w:val="00C80615"/>
    <w:rsid w:val="00C83824"/>
    <w:rsid w:val="00C84347"/>
    <w:rsid w:val="00C844FA"/>
    <w:rsid w:val="00C8651E"/>
    <w:rsid w:val="00C87952"/>
    <w:rsid w:val="00C93D2A"/>
    <w:rsid w:val="00C975EE"/>
    <w:rsid w:val="00CA25FB"/>
    <w:rsid w:val="00CA2AD8"/>
    <w:rsid w:val="00CA3883"/>
    <w:rsid w:val="00CB0990"/>
    <w:rsid w:val="00CB3F69"/>
    <w:rsid w:val="00CC3C5E"/>
    <w:rsid w:val="00CC5468"/>
    <w:rsid w:val="00CC5FF6"/>
    <w:rsid w:val="00CD095F"/>
    <w:rsid w:val="00CD2ECC"/>
    <w:rsid w:val="00CD35D0"/>
    <w:rsid w:val="00CD4FAE"/>
    <w:rsid w:val="00CD5119"/>
    <w:rsid w:val="00CD680E"/>
    <w:rsid w:val="00CD7E13"/>
    <w:rsid w:val="00CE049C"/>
    <w:rsid w:val="00CE1D4D"/>
    <w:rsid w:val="00CE1ED4"/>
    <w:rsid w:val="00CE2A4F"/>
    <w:rsid w:val="00CE32B2"/>
    <w:rsid w:val="00CE5A9F"/>
    <w:rsid w:val="00CE601D"/>
    <w:rsid w:val="00CE6383"/>
    <w:rsid w:val="00CF36AE"/>
    <w:rsid w:val="00CF62E8"/>
    <w:rsid w:val="00D00C91"/>
    <w:rsid w:val="00D02C08"/>
    <w:rsid w:val="00D03291"/>
    <w:rsid w:val="00D21523"/>
    <w:rsid w:val="00D2259C"/>
    <w:rsid w:val="00D22D89"/>
    <w:rsid w:val="00D239FA"/>
    <w:rsid w:val="00D3005F"/>
    <w:rsid w:val="00D3231A"/>
    <w:rsid w:val="00D33295"/>
    <w:rsid w:val="00D37082"/>
    <w:rsid w:val="00D40D8C"/>
    <w:rsid w:val="00D45AF1"/>
    <w:rsid w:val="00D45C64"/>
    <w:rsid w:val="00D45D37"/>
    <w:rsid w:val="00D472DF"/>
    <w:rsid w:val="00D537BD"/>
    <w:rsid w:val="00D54893"/>
    <w:rsid w:val="00D60F24"/>
    <w:rsid w:val="00D624F5"/>
    <w:rsid w:val="00D62A7C"/>
    <w:rsid w:val="00D635CE"/>
    <w:rsid w:val="00D64582"/>
    <w:rsid w:val="00D66497"/>
    <w:rsid w:val="00D6698F"/>
    <w:rsid w:val="00D676EF"/>
    <w:rsid w:val="00D72615"/>
    <w:rsid w:val="00D738D0"/>
    <w:rsid w:val="00D77B53"/>
    <w:rsid w:val="00D81435"/>
    <w:rsid w:val="00D83345"/>
    <w:rsid w:val="00D838A0"/>
    <w:rsid w:val="00D84255"/>
    <w:rsid w:val="00D90D06"/>
    <w:rsid w:val="00D91B32"/>
    <w:rsid w:val="00D96043"/>
    <w:rsid w:val="00D96932"/>
    <w:rsid w:val="00DA020F"/>
    <w:rsid w:val="00DA18B4"/>
    <w:rsid w:val="00DA774D"/>
    <w:rsid w:val="00DB046C"/>
    <w:rsid w:val="00DB105F"/>
    <w:rsid w:val="00DB26CD"/>
    <w:rsid w:val="00DB3918"/>
    <w:rsid w:val="00DB4127"/>
    <w:rsid w:val="00DB4865"/>
    <w:rsid w:val="00DB4ADC"/>
    <w:rsid w:val="00DC0124"/>
    <w:rsid w:val="00DC246A"/>
    <w:rsid w:val="00DC4B64"/>
    <w:rsid w:val="00DC5913"/>
    <w:rsid w:val="00DC6DDB"/>
    <w:rsid w:val="00DC7319"/>
    <w:rsid w:val="00DC75DF"/>
    <w:rsid w:val="00DD1EC1"/>
    <w:rsid w:val="00DD326F"/>
    <w:rsid w:val="00DD4625"/>
    <w:rsid w:val="00DD7719"/>
    <w:rsid w:val="00DE306D"/>
    <w:rsid w:val="00DE3BE7"/>
    <w:rsid w:val="00DE5A9E"/>
    <w:rsid w:val="00DE655F"/>
    <w:rsid w:val="00DE6834"/>
    <w:rsid w:val="00DE6A03"/>
    <w:rsid w:val="00DE752B"/>
    <w:rsid w:val="00DF109B"/>
    <w:rsid w:val="00DF1C0E"/>
    <w:rsid w:val="00DF44FC"/>
    <w:rsid w:val="00DF4762"/>
    <w:rsid w:val="00DF6A82"/>
    <w:rsid w:val="00DF7B7A"/>
    <w:rsid w:val="00E003B9"/>
    <w:rsid w:val="00E03D40"/>
    <w:rsid w:val="00E04E48"/>
    <w:rsid w:val="00E06BA0"/>
    <w:rsid w:val="00E132CF"/>
    <w:rsid w:val="00E15E86"/>
    <w:rsid w:val="00E20403"/>
    <w:rsid w:val="00E23C2B"/>
    <w:rsid w:val="00E2568A"/>
    <w:rsid w:val="00E262C6"/>
    <w:rsid w:val="00E3114E"/>
    <w:rsid w:val="00E329E7"/>
    <w:rsid w:val="00E342D2"/>
    <w:rsid w:val="00E34725"/>
    <w:rsid w:val="00E375E5"/>
    <w:rsid w:val="00E41698"/>
    <w:rsid w:val="00E44319"/>
    <w:rsid w:val="00E444B8"/>
    <w:rsid w:val="00E4732D"/>
    <w:rsid w:val="00E50638"/>
    <w:rsid w:val="00E5443F"/>
    <w:rsid w:val="00E561AD"/>
    <w:rsid w:val="00E60993"/>
    <w:rsid w:val="00E6254D"/>
    <w:rsid w:val="00E64F34"/>
    <w:rsid w:val="00E6773C"/>
    <w:rsid w:val="00E711A6"/>
    <w:rsid w:val="00E74708"/>
    <w:rsid w:val="00E8270C"/>
    <w:rsid w:val="00E84E7F"/>
    <w:rsid w:val="00E8584C"/>
    <w:rsid w:val="00E87BDB"/>
    <w:rsid w:val="00E87D50"/>
    <w:rsid w:val="00E921FF"/>
    <w:rsid w:val="00E93171"/>
    <w:rsid w:val="00E964E7"/>
    <w:rsid w:val="00EA46DD"/>
    <w:rsid w:val="00EA7052"/>
    <w:rsid w:val="00EB2461"/>
    <w:rsid w:val="00EB2E49"/>
    <w:rsid w:val="00EB6D48"/>
    <w:rsid w:val="00EB7BE7"/>
    <w:rsid w:val="00EC07F5"/>
    <w:rsid w:val="00EC0A82"/>
    <w:rsid w:val="00EC21FE"/>
    <w:rsid w:val="00EC241E"/>
    <w:rsid w:val="00EC24A3"/>
    <w:rsid w:val="00EC5F31"/>
    <w:rsid w:val="00ED4C8D"/>
    <w:rsid w:val="00ED5FFC"/>
    <w:rsid w:val="00EE157C"/>
    <w:rsid w:val="00EE18D2"/>
    <w:rsid w:val="00EE20D8"/>
    <w:rsid w:val="00EE5F7F"/>
    <w:rsid w:val="00EE64CA"/>
    <w:rsid w:val="00EE79E9"/>
    <w:rsid w:val="00EF4B4A"/>
    <w:rsid w:val="00F03084"/>
    <w:rsid w:val="00F06145"/>
    <w:rsid w:val="00F07012"/>
    <w:rsid w:val="00F07150"/>
    <w:rsid w:val="00F07F2B"/>
    <w:rsid w:val="00F11D53"/>
    <w:rsid w:val="00F11F8C"/>
    <w:rsid w:val="00F12B90"/>
    <w:rsid w:val="00F14B10"/>
    <w:rsid w:val="00F155E0"/>
    <w:rsid w:val="00F15ED7"/>
    <w:rsid w:val="00F17CCD"/>
    <w:rsid w:val="00F23A12"/>
    <w:rsid w:val="00F243C7"/>
    <w:rsid w:val="00F2521F"/>
    <w:rsid w:val="00F273E9"/>
    <w:rsid w:val="00F3029E"/>
    <w:rsid w:val="00F305B0"/>
    <w:rsid w:val="00F32050"/>
    <w:rsid w:val="00F406A5"/>
    <w:rsid w:val="00F456BD"/>
    <w:rsid w:val="00F473EC"/>
    <w:rsid w:val="00F50128"/>
    <w:rsid w:val="00F50A08"/>
    <w:rsid w:val="00F51461"/>
    <w:rsid w:val="00F523F6"/>
    <w:rsid w:val="00F5283A"/>
    <w:rsid w:val="00F550DE"/>
    <w:rsid w:val="00F563EF"/>
    <w:rsid w:val="00F564CE"/>
    <w:rsid w:val="00F56A2E"/>
    <w:rsid w:val="00F63997"/>
    <w:rsid w:val="00F64084"/>
    <w:rsid w:val="00F670F4"/>
    <w:rsid w:val="00F72859"/>
    <w:rsid w:val="00F73E89"/>
    <w:rsid w:val="00F7443C"/>
    <w:rsid w:val="00F74A32"/>
    <w:rsid w:val="00F751BB"/>
    <w:rsid w:val="00F7524A"/>
    <w:rsid w:val="00F75974"/>
    <w:rsid w:val="00F769E5"/>
    <w:rsid w:val="00F77626"/>
    <w:rsid w:val="00F867C0"/>
    <w:rsid w:val="00FA09BB"/>
    <w:rsid w:val="00FA5C2F"/>
    <w:rsid w:val="00FA78DE"/>
    <w:rsid w:val="00FB19AF"/>
    <w:rsid w:val="00FB1A85"/>
    <w:rsid w:val="00FB45D0"/>
    <w:rsid w:val="00FB6606"/>
    <w:rsid w:val="00FD51D3"/>
    <w:rsid w:val="00FD5DEB"/>
    <w:rsid w:val="00FD743D"/>
    <w:rsid w:val="00FE0A60"/>
    <w:rsid w:val="00FE0F7D"/>
    <w:rsid w:val="00FE1D28"/>
    <w:rsid w:val="00FE28B0"/>
    <w:rsid w:val="00FE3DC6"/>
    <w:rsid w:val="00FE52A4"/>
    <w:rsid w:val="00FF208F"/>
    <w:rsid w:val="00FF4671"/>
    <w:rsid w:val="00FF5D5C"/>
    <w:rsid w:val="00FF6F57"/>
    <w:rsid w:val="01790F1A"/>
    <w:rsid w:val="02A36C44"/>
    <w:rsid w:val="035C6DF3"/>
    <w:rsid w:val="03B30E76"/>
    <w:rsid w:val="05096B07"/>
    <w:rsid w:val="0523222A"/>
    <w:rsid w:val="05A01219"/>
    <w:rsid w:val="05E87F26"/>
    <w:rsid w:val="06532730"/>
    <w:rsid w:val="069265E5"/>
    <w:rsid w:val="085C6BC2"/>
    <w:rsid w:val="08F41BD0"/>
    <w:rsid w:val="092B365C"/>
    <w:rsid w:val="09B21156"/>
    <w:rsid w:val="0A7E2034"/>
    <w:rsid w:val="0B837613"/>
    <w:rsid w:val="0BCF0AAA"/>
    <w:rsid w:val="0C892520"/>
    <w:rsid w:val="0CDF2CA9"/>
    <w:rsid w:val="0CFA3905"/>
    <w:rsid w:val="0D8D439B"/>
    <w:rsid w:val="0ED700AF"/>
    <w:rsid w:val="0F0B470E"/>
    <w:rsid w:val="0F2D3B30"/>
    <w:rsid w:val="1004107A"/>
    <w:rsid w:val="11321BC4"/>
    <w:rsid w:val="1155307D"/>
    <w:rsid w:val="11771654"/>
    <w:rsid w:val="12604834"/>
    <w:rsid w:val="12860ADE"/>
    <w:rsid w:val="129640D0"/>
    <w:rsid w:val="12C43BED"/>
    <w:rsid w:val="16437993"/>
    <w:rsid w:val="16B055FB"/>
    <w:rsid w:val="17AC1CA0"/>
    <w:rsid w:val="183365FE"/>
    <w:rsid w:val="189A01BF"/>
    <w:rsid w:val="18AB7544"/>
    <w:rsid w:val="18DF3A97"/>
    <w:rsid w:val="19E820AD"/>
    <w:rsid w:val="19EF60AD"/>
    <w:rsid w:val="1B2B55D1"/>
    <w:rsid w:val="1BCD4C6D"/>
    <w:rsid w:val="1C2B64FC"/>
    <w:rsid w:val="1CE13981"/>
    <w:rsid w:val="1D48051B"/>
    <w:rsid w:val="1DBA4DAD"/>
    <w:rsid w:val="1E220F0E"/>
    <w:rsid w:val="1F356A1F"/>
    <w:rsid w:val="1F395447"/>
    <w:rsid w:val="1F82125F"/>
    <w:rsid w:val="1FD20711"/>
    <w:rsid w:val="217B56D8"/>
    <w:rsid w:val="23904052"/>
    <w:rsid w:val="23DA4BBD"/>
    <w:rsid w:val="24007018"/>
    <w:rsid w:val="24F66F93"/>
    <w:rsid w:val="25294D31"/>
    <w:rsid w:val="256065E1"/>
    <w:rsid w:val="25B6156F"/>
    <w:rsid w:val="2629095F"/>
    <w:rsid w:val="270C22DE"/>
    <w:rsid w:val="27B1193F"/>
    <w:rsid w:val="28003E99"/>
    <w:rsid w:val="294F0DD5"/>
    <w:rsid w:val="29FB6137"/>
    <w:rsid w:val="2A0C4820"/>
    <w:rsid w:val="2A1D1B1E"/>
    <w:rsid w:val="2B024BBD"/>
    <w:rsid w:val="2C4A290F"/>
    <w:rsid w:val="2DC0289E"/>
    <w:rsid w:val="2E0C4DEE"/>
    <w:rsid w:val="2F9432ED"/>
    <w:rsid w:val="2FE2381D"/>
    <w:rsid w:val="31624A09"/>
    <w:rsid w:val="31B10216"/>
    <w:rsid w:val="325776A2"/>
    <w:rsid w:val="32EB591A"/>
    <w:rsid w:val="331746F9"/>
    <w:rsid w:val="335525BA"/>
    <w:rsid w:val="36445A95"/>
    <w:rsid w:val="369400F7"/>
    <w:rsid w:val="36C26992"/>
    <w:rsid w:val="37527CF3"/>
    <w:rsid w:val="37610F7D"/>
    <w:rsid w:val="380354B4"/>
    <w:rsid w:val="380C20A3"/>
    <w:rsid w:val="39297E18"/>
    <w:rsid w:val="39F634E7"/>
    <w:rsid w:val="3A9B5EE8"/>
    <w:rsid w:val="3AE471CB"/>
    <w:rsid w:val="3B0F4170"/>
    <w:rsid w:val="3B660234"/>
    <w:rsid w:val="3B862E54"/>
    <w:rsid w:val="3BA4251B"/>
    <w:rsid w:val="3BB106FB"/>
    <w:rsid w:val="3DD70D95"/>
    <w:rsid w:val="3E6831F2"/>
    <w:rsid w:val="3F7C5A2F"/>
    <w:rsid w:val="40775637"/>
    <w:rsid w:val="41861E50"/>
    <w:rsid w:val="41B50169"/>
    <w:rsid w:val="429B19AC"/>
    <w:rsid w:val="42E52EB9"/>
    <w:rsid w:val="435412BA"/>
    <w:rsid w:val="435C1F1C"/>
    <w:rsid w:val="438D657A"/>
    <w:rsid w:val="441D0435"/>
    <w:rsid w:val="453A31A0"/>
    <w:rsid w:val="47767A51"/>
    <w:rsid w:val="477A0BC3"/>
    <w:rsid w:val="49217B84"/>
    <w:rsid w:val="494552C4"/>
    <w:rsid w:val="4950607F"/>
    <w:rsid w:val="495C1173"/>
    <w:rsid w:val="495F4514"/>
    <w:rsid w:val="49667651"/>
    <w:rsid w:val="49A301C6"/>
    <w:rsid w:val="49A62143"/>
    <w:rsid w:val="4AFE1A6C"/>
    <w:rsid w:val="4BB342F8"/>
    <w:rsid w:val="4C072F47"/>
    <w:rsid w:val="4C2206BD"/>
    <w:rsid w:val="4D67120C"/>
    <w:rsid w:val="4E895CF8"/>
    <w:rsid w:val="50242014"/>
    <w:rsid w:val="503C112D"/>
    <w:rsid w:val="50A004AA"/>
    <w:rsid w:val="50BE4216"/>
    <w:rsid w:val="50C673B4"/>
    <w:rsid w:val="51190E10"/>
    <w:rsid w:val="515862B6"/>
    <w:rsid w:val="533D0E3C"/>
    <w:rsid w:val="54837808"/>
    <w:rsid w:val="55472A2C"/>
    <w:rsid w:val="55B21BAD"/>
    <w:rsid w:val="56180F27"/>
    <w:rsid w:val="57075E55"/>
    <w:rsid w:val="57925AB5"/>
    <w:rsid w:val="57CC46E5"/>
    <w:rsid w:val="59CE6D94"/>
    <w:rsid w:val="5A7E1EB9"/>
    <w:rsid w:val="5C1B3C86"/>
    <w:rsid w:val="5CA6635D"/>
    <w:rsid w:val="5DC170D8"/>
    <w:rsid w:val="5E2E6B91"/>
    <w:rsid w:val="5F092B01"/>
    <w:rsid w:val="5FFE018B"/>
    <w:rsid w:val="60903C99"/>
    <w:rsid w:val="61894395"/>
    <w:rsid w:val="61BF1331"/>
    <w:rsid w:val="625C78E7"/>
    <w:rsid w:val="62A3326C"/>
    <w:rsid w:val="63AE1EC8"/>
    <w:rsid w:val="63ED6906"/>
    <w:rsid w:val="64813139"/>
    <w:rsid w:val="64E57B6C"/>
    <w:rsid w:val="65CB0B10"/>
    <w:rsid w:val="660D2ED6"/>
    <w:rsid w:val="661318A7"/>
    <w:rsid w:val="66A87C5F"/>
    <w:rsid w:val="677478C8"/>
    <w:rsid w:val="682A30F6"/>
    <w:rsid w:val="68E12443"/>
    <w:rsid w:val="69D138E3"/>
    <w:rsid w:val="69DF2DDC"/>
    <w:rsid w:val="6B973810"/>
    <w:rsid w:val="6C685FE6"/>
    <w:rsid w:val="6CF50B68"/>
    <w:rsid w:val="6CFB1CBE"/>
    <w:rsid w:val="6D4F0278"/>
    <w:rsid w:val="6E703639"/>
    <w:rsid w:val="6F946416"/>
    <w:rsid w:val="705E2CAF"/>
    <w:rsid w:val="70767296"/>
    <w:rsid w:val="717C7162"/>
    <w:rsid w:val="717D3F41"/>
    <w:rsid w:val="71950224"/>
    <w:rsid w:val="72BA6BF6"/>
    <w:rsid w:val="73F676A0"/>
    <w:rsid w:val="740C0C71"/>
    <w:rsid w:val="743B5786"/>
    <w:rsid w:val="74982505"/>
    <w:rsid w:val="759C679E"/>
    <w:rsid w:val="77C20E07"/>
    <w:rsid w:val="78103D2F"/>
    <w:rsid w:val="785030F6"/>
    <w:rsid w:val="78765D21"/>
    <w:rsid w:val="79F53325"/>
    <w:rsid w:val="7B1A0118"/>
    <w:rsid w:val="7B2E5D41"/>
    <w:rsid w:val="7B723B17"/>
    <w:rsid w:val="7BD43AA5"/>
    <w:rsid w:val="7C9E2682"/>
    <w:rsid w:val="7CEA3B1A"/>
    <w:rsid w:val="7DF94E6A"/>
    <w:rsid w:val="7E730861"/>
    <w:rsid w:val="7E832C45"/>
    <w:rsid w:val="7EA72A08"/>
    <w:rsid w:val="7F205A45"/>
    <w:rsid w:val="7FA743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5D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0065D8"/>
    <w:pPr>
      <w:jc w:val="left"/>
    </w:pPr>
  </w:style>
  <w:style w:type="paragraph" w:styleId="a4">
    <w:name w:val="Balloon Text"/>
    <w:basedOn w:val="a"/>
    <w:link w:val="Char"/>
    <w:uiPriority w:val="99"/>
    <w:semiHidden/>
    <w:unhideWhenUsed/>
    <w:qFormat/>
    <w:rsid w:val="000065D8"/>
    <w:rPr>
      <w:sz w:val="18"/>
      <w:szCs w:val="18"/>
    </w:rPr>
  </w:style>
  <w:style w:type="paragraph" w:styleId="a5">
    <w:name w:val="footer"/>
    <w:basedOn w:val="a"/>
    <w:link w:val="Char0"/>
    <w:uiPriority w:val="99"/>
    <w:unhideWhenUsed/>
    <w:qFormat/>
    <w:rsid w:val="000065D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0065D8"/>
    <w:pPr>
      <w:tabs>
        <w:tab w:val="center" w:pos="4153"/>
        <w:tab w:val="right" w:pos="8306"/>
      </w:tabs>
      <w:snapToGrid w:val="0"/>
      <w:jc w:val="center"/>
    </w:pPr>
    <w:rPr>
      <w:sz w:val="18"/>
      <w:szCs w:val="18"/>
    </w:rPr>
  </w:style>
  <w:style w:type="character" w:styleId="a7">
    <w:name w:val="Strong"/>
    <w:basedOn w:val="a0"/>
    <w:uiPriority w:val="22"/>
    <w:qFormat/>
    <w:rsid w:val="000065D8"/>
    <w:rPr>
      <w:b/>
    </w:rPr>
  </w:style>
  <w:style w:type="character" w:styleId="a8">
    <w:name w:val="annotation reference"/>
    <w:basedOn w:val="a0"/>
    <w:uiPriority w:val="99"/>
    <w:semiHidden/>
    <w:unhideWhenUsed/>
    <w:qFormat/>
    <w:rsid w:val="000065D8"/>
    <w:rPr>
      <w:sz w:val="21"/>
      <w:szCs w:val="21"/>
    </w:rPr>
  </w:style>
  <w:style w:type="paragraph" w:customStyle="1" w:styleId="a9">
    <w:name w:val="方正正文"/>
    <w:basedOn w:val="a"/>
    <w:qFormat/>
    <w:rsid w:val="000065D8"/>
    <w:pPr>
      <w:snapToGrid w:val="0"/>
      <w:spacing w:line="316" w:lineRule="auto"/>
      <w:ind w:firstLineChars="200" w:firstLine="200"/>
    </w:pPr>
    <w:rPr>
      <w:rFonts w:ascii="Times New Roman" w:eastAsia="方正仿宋" w:hAnsi="Times New Roman" w:cs="Times New Roman"/>
      <w:sz w:val="32"/>
      <w:szCs w:val="24"/>
    </w:rPr>
  </w:style>
  <w:style w:type="paragraph" w:customStyle="1" w:styleId="3">
    <w:name w:val="标3正"/>
    <w:basedOn w:val="a"/>
    <w:qFormat/>
    <w:rsid w:val="000065D8"/>
    <w:pPr>
      <w:widowControl/>
      <w:spacing w:line="390" w:lineRule="atLeast"/>
      <w:ind w:firstLineChars="200" w:firstLine="560"/>
    </w:pPr>
    <w:rPr>
      <w:rFonts w:ascii="仿宋_GB2312" w:eastAsia="仿宋_GB2312" w:hAnsi="宋体" w:cs="宋体"/>
      <w:color w:val="070707"/>
      <w:kern w:val="0"/>
      <w:sz w:val="28"/>
      <w:szCs w:val="28"/>
    </w:rPr>
  </w:style>
  <w:style w:type="paragraph" w:styleId="aa">
    <w:name w:val="List Paragraph"/>
    <w:basedOn w:val="a"/>
    <w:uiPriority w:val="99"/>
    <w:unhideWhenUsed/>
    <w:qFormat/>
    <w:rsid w:val="000065D8"/>
    <w:pPr>
      <w:ind w:firstLineChars="200" w:firstLine="420"/>
    </w:pPr>
    <w:rPr>
      <w:rFonts w:ascii="Times New Roman" w:eastAsia="宋体" w:hAnsi="Times New Roman" w:cs="Times New Roman"/>
      <w:szCs w:val="24"/>
    </w:rPr>
  </w:style>
  <w:style w:type="character" w:customStyle="1" w:styleId="Char1">
    <w:name w:val="页眉 Char"/>
    <w:basedOn w:val="a0"/>
    <w:link w:val="a6"/>
    <w:uiPriority w:val="99"/>
    <w:qFormat/>
    <w:rsid w:val="000065D8"/>
    <w:rPr>
      <w:sz w:val="18"/>
      <w:szCs w:val="18"/>
    </w:rPr>
  </w:style>
  <w:style w:type="character" w:customStyle="1" w:styleId="Char0">
    <w:name w:val="页脚 Char"/>
    <w:basedOn w:val="a0"/>
    <w:link w:val="a5"/>
    <w:uiPriority w:val="99"/>
    <w:qFormat/>
    <w:rsid w:val="000065D8"/>
    <w:rPr>
      <w:sz w:val="18"/>
      <w:szCs w:val="18"/>
    </w:rPr>
  </w:style>
  <w:style w:type="character" w:customStyle="1" w:styleId="Char">
    <w:name w:val="批注框文本 Char"/>
    <w:basedOn w:val="a0"/>
    <w:link w:val="a4"/>
    <w:uiPriority w:val="99"/>
    <w:semiHidden/>
    <w:qFormat/>
    <w:rsid w:val="000065D8"/>
    <w:rPr>
      <w:kern w:val="2"/>
      <w:sz w:val="18"/>
      <w:szCs w:val="18"/>
    </w:rPr>
  </w:style>
  <w:style w:type="paragraph" w:styleId="ab">
    <w:name w:val="No Spacing"/>
    <w:uiPriority w:val="1"/>
    <w:qFormat/>
    <w:rsid w:val="000065D8"/>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18</Pages>
  <Words>1175</Words>
  <Characters>6701</Characters>
  <Application>Microsoft Office Word</Application>
  <DocSecurity>0</DocSecurity>
  <Lines>55</Lines>
  <Paragraphs>15</Paragraphs>
  <ScaleCrop>false</ScaleCrop>
  <Company>Microsoft</Company>
  <LinksUpToDate>false</LinksUpToDate>
  <CharactersWithSpaces>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dc:creator>
  <cp:lastModifiedBy>段磊</cp:lastModifiedBy>
  <cp:revision>45</cp:revision>
  <cp:lastPrinted>2026-03-04T01:57:00Z</cp:lastPrinted>
  <dcterms:created xsi:type="dcterms:W3CDTF">2024-11-12T03:04:00Z</dcterms:created>
  <dcterms:modified xsi:type="dcterms:W3CDTF">2026-03-18T07:45:00Z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48D1A6CE172C42D5B918F19B26AD55F6_13</vt:lpwstr>
  </property>
  <property fmtid="{D5CDD505-2E9C-101B-9397-08002B2CF9AE}" pid="4" name="KSOTemplateDocerSaveRecord">
    <vt:lpwstr>eyJoZGlkIjoiMWY0OGIwMTk2MDYyMDYyYWQ3NmY0ZDNmMTMxM2Q4YzIiLCJ1c2VySWQiOiI0NDc2MjE4NjAifQ==</vt:lpwstr>
  </property>
</Properties>
</file>