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DE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井研县城市基础</w:t>
      </w:r>
      <w:bookmarkStart w:id="0" w:name="_GoBack"/>
      <w:bookmarkEnd w:id="0"/>
      <w:r>
        <w:rPr>
          <w:rFonts w:hint="default" w:ascii="Times New Roman" w:hAnsi="Times New Roman" w:eastAsia="方正小标宋_GBK" w:cs="Times New Roman"/>
          <w:color w:val="auto"/>
          <w:sz w:val="44"/>
          <w:szCs w:val="44"/>
          <w:lang w:val="en-US" w:eastAsia="zh-CN"/>
        </w:rPr>
        <w:t>设施配套费计费和征收</w:t>
      </w:r>
    </w:p>
    <w:p w14:paraId="496E6C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管理办法（征求意见稿）</w:t>
      </w:r>
    </w:p>
    <w:p w14:paraId="4D29F59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32627B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第一条总则</w:t>
      </w:r>
    </w:p>
    <w:p w14:paraId="5CBC13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加强城市基础设施配套费（以下简称"配套费")征收、使用和管理，促进城市基础设施建设，根据国家有关规定和四川省物价局、四川省财政厅《关于贯彻＜国家计委、财政部关于全面整顿住房建设收费取消部分收费项目的通知＞的通知》（川价费〔2001〕157号）及四川省财政厅《四川省财政厅关于公布四川省政府性基金目录清单》（川财税〔2021〕15号）的通知精神，结合我县实际，制定本办法。</w:t>
      </w:r>
    </w:p>
    <w:p w14:paraId="7CC46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第二条征收范围</w:t>
      </w:r>
    </w:p>
    <w:p w14:paraId="1953D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在县城区（研城街道）城镇开发边界内、各镇城镇开发边界内国有土地和各类工矿区新建、改建、扩建（以下统称"建设"）各类建筑物的单位和个人，均应缴纳配套费。</w:t>
      </w:r>
    </w:p>
    <w:p w14:paraId="44A83B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第三条征收标准</w:t>
      </w:r>
    </w:p>
    <w:p w14:paraId="3E773A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城区（研城街道）城镇开发边界内城市基础设施配套费收费标准为35元/㎡；各镇城镇开发边界内城市基础设施配套费收费标准为25元/㎡；在县城区（研城街道）城镇开发边界、各镇城镇开发边界范围外的工矿区办公及住宿城市基础设施配套费收费标准为10-15元/㎡，生产用房为5元/㎡</w:t>
      </w:r>
    </w:p>
    <w:p w14:paraId="62B94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第四条征收主体</w:t>
      </w:r>
    </w:p>
    <w:p w14:paraId="1463B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县住房和城乡建设局是配套费的执收部门，具体负责配套费的征收管理工作。县财政局负责配套费征收的政策指导和监督管理。</w:t>
      </w:r>
    </w:p>
    <w:p w14:paraId="774A22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第五条征收环节</w:t>
      </w:r>
    </w:p>
    <w:p w14:paraId="40733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建设单位和个人，应当在申请建设工程勘察文件及施工图设计文件审查备案时，按规划建筑面积足额缴纳配套费；县住建局在审查建设项目竣工验收备案申请材料时，一并核验配套费清缴情况（依据收费登记表和政府非税收入通用票据），对未清缴配套费的建设项目，不予办理竣工验收备案，对建设过程中建筑面积有增加的，按超出面积核定补征配套费数额。</w:t>
      </w:r>
    </w:p>
    <w:p w14:paraId="62323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第六条减免范围和流程</w:t>
      </w:r>
    </w:p>
    <w:p w14:paraId="6C5F57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法律、法规、规章及相关政策规定减免配套费的建设项目，可按照规定减免配套费，具体减免项目、内容及依据详见《减免城市基础设施配套费建设项目目录》。属于减免范畴的，需提供建设项目所属行政主管部门认定意见。凡享受政策性减免的建设项目，不得擅自改变经批准的设计方案所确定的使用性质，已经改变且不再符合减免情形的，建设单位和个人按改变使用性质的建筑面积补缴配套费。批准使用性质变更的行政主管部门，应及时将变更事项告知征收部门，并协助督促建设单位和个人按规定缴费。</w:t>
      </w:r>
    </w:p>
    <w:p w14:paraId="4C7CF1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具体减免流程为：建设单位提出申请，经项目所属行业主管部门审核认定减免条件后，由县住房和城乡建设局作出减免决定。县住房和城乡建设局定期向县财政局报送减免情况，接受监督检查。</w:t>
      </w:r>
    </w:p>
    <w:p w14:paraId="4D2C64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第七条统一管理</w:t>
      </w:r>
    </w:p>
    <w:p w14:paraId="1CB04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征收配套费应当使用财政部统一监（印）制的非税收入票据，</w:t>
      </w:r>
    </w:p>
    <w:p w14:paraId="344FCAC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资金直接缴入县财政专户，纳入政府性基金预算管理。配套费的征收应当接受审计部门的监督检查。</w:t>
      </w:r>
    </w:p>
    <w:p w14:paraId="5C652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第八条实施时间</w:t>
      </w:r>
    </w:p>
    <w:p w14:paraId="16D1E3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本办法自发布之日起30日后施行，有效期至2030年12月31日。在实施期间，国家和省市另有规定的，从其规定。本办法实施前制定的文件与本办法不一致的，按照本办法执行。</w:t>
      </w:r>
    </w:p>
    <w:p w14:paraId="215C6B0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144037F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27A12BC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35DB473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16776E6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03E8719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314D857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54C77EB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0E1C28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6269A95D">
      <w:pPr>
        <w:pStyle w:val="2"/>
        <w:keepNext w:val="0"/>
        <w:keepLines w:val="0"/>
        <w:widowControl/>
        <w:suppressLineNumbers w:val="0"/>
        <w:spacing w:before="0" w:beforeAutospacing="0" w:after="0" w:afterAutospacing="0" w:line="600" w:lineRule="exact"/>
        <w:ind w:left="0" w:right="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附件：《减免城市基础设施配套费建设项目目录》</w:t>
      </w:r>
    </w:p>
    <w:p w14:paraId="2EAB7E59">
      <w:pPr>
        <w:pStyle w:val="2"/>
        <w:keepNext w:val="0"/>
        <w:keepLines w:val="0"/>
        <w:widowControl/>
        <w:suppressLineNumbers w:val="0"/>
        <w:pBdr>
          <w:top w:val="none" w:color="000000"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shd w:val="clear" w:fill="FFFFFF"/>
          <w:vertAlign w:val="baseline"/>
        </w:rPr>
        <w:t>　　</w:t>
      </w:r>
    </w:p>
    <w:tbl>
      <w:tblPr>
        <w:tblStyle w:val="3"/>
        <w:tblW w:w="8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8"/>
        <w:gridCol w:w="1440"/>
        <w:gridCol w:w="3543"/>
        <w:gridCol w:w="3104"/>
      </w:tblGrid>
      <w:tr w14:paraId="71B0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jc w:val="center"/>
        </w:trPr>
        <w:tc>
          <w:tcPr>
            <w:tcW w:w="898"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3DFB648">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序号</w:t>
            </w:r>
          </w:p>
        </w:tc>
        <w:tc>
          <w:tcPr>
            <w:tcW w:w="144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A1CEC7">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减免类型</w:t>
            </w:r>
          </w:p>
        </w:tc>
        <w:tc>
          <w:tcPr>
            <w:tcW w:w="354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C724FC5">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减免依据</w:t>
            </w:r>
          </w:p>
        </w:tc>
        <w:tc>
          <w:tcPr>
            <w:tcW w:w="3104"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AA6EA3F">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减免内容</w:t>
            </w:r>
          </w:p>
        </w:tc>
      </w:tr>
      <w:tr w14:paraId="6BF4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E9CA31">
            <w:pPr>
              <w:rPr>
                <w:rFonts w:hint="default" w:ascii="Times New Roman" w:hAnsi="Times New Roman" w:cs="Times New Roman"/>
                <w:color w:val="auto"/>
                <w:sz w:val="24"/>
                <w:szCs w:val="24"/>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74CCA0B">
            <w:pPr>
              <w:rPr>
                <w:rFonts w:hint="default" w:ascii="Times New Roman" w:hAnsi="Times New Roman" w:cs="Times New Roman"/>
                <w:color w:val="auto"/>
                <w:sz w:val="24"/>
                <w:szCs w:val="24"/>
              </w:rPr>
            </w:pPr>
          </w:p>
        </w:tc>
        <w:tc>
          <w:tcPr>
            <w:tcW w:w="354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E64253">
            <w:pPr>
              <w:rPr>
                <w:rFonts w:hint="default" w:ascii="Times New Roman" w:hAnsi="Times New Roman" w:cs="Times New Roman"/>
                <w:color w:val="auto"/>
                <w:sz w:val="24"/>
                <w:szCs w:val="24"/>
              </w:rPr>
            </w:pPr>
          </w:p>
        </w:tc>
        <w:tc>
          <w:tcPr>
            <w:tcW w:w="310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DBDA58">
            <w:pPr>
              <w:rPr>
                <w:rFonts w:hint="default" w:ascii="Times New Roman" w:hAnsi="Times New Roman" w:cs="Times New Roman"/>
                <w:color w:val="auto"/>
                <w:sz w:val="24"/>
                <w:szCs w:val="24"/>
              </w:rPr>
            </w:pPr>
          </w:p>
        </w:tc>
      </w:tr>
      <w:tr w14:paraId="1F32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0CA1D82">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49FDFC2">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棚户区改造项目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6803C1D">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1.《国务院关于解决城市低收入家庭住房困难的若干意见》（国发〔2007〕24号）</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2.《国务院关于加快棚户区改造工作的意见》（国发〔2013〕25号）</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3.《财政部关于做好城市棚户区改造相关工作的通知》（财综〔2015〕57号）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C446347">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棚户区改造项目征收红线范围内新建房屋免缴城市基础设施配套费。</w:t>
            </w:r>
          </w:p>
        </w:tc>
      </w:tr>
      <w:tr w14:paraId="40C8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0E1FC2E">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 xml:space="preserve">2 </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8874C6">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经济适用房项目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F10DD5">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1.《国务院关于解决城市低收入家庭住房困难的若干意见》（国发〔2007〕24号）</w:t>
            </w:r>
          </w:p>
          <w:p w14:paraId="2999B128">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2.《国务院关于加快棚户区改造工作的意见》（国发〔2013〕25号）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91039BA">
            <w:pPr>
              <w:pStyle w:val="2"/>
              <w:keepNext w:val="0"/>
              <w:keepLines w:val="0"/>
              <w:widowControl/>
              <w:suppressLineNumbers w:val="0"/>
              <w:spacing w:before="0" w:beforeAutospacing="0" w:after="0" w:afterAutospacing="0"/>
              <w:ind w:left="0" w:right="0" w:firstLine="42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经批准建设的经济适用房项目，免缴城市基础设施配套费。</w:t>
            </w:r>
          </w:p>
        </w:tc>
      </w:tr>
      <w:tr w14:paraId="763B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D627D3">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3</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16E33AB">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公共租赁住房项目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4A288A">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1.《国务院关于解决城市低收入家庭住房困难的若干意见》（国发〔2007〕24号）</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2.《关于加快发展公共租赁住房的指导意见》（建保〔2010〕87号）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C12E229">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纳入全市公共租赁住房年度建设计划的项目，免缴城市基础设施配套费。</w:t>
            </w:r>
          </w:p>
        </w:tc>
      </w:tr>
      <w:tr w14:paraId="4F4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E04895">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4</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B15607">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旧住宅区整治项目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65BA0AD">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1.《国务院关于解决城市低收入家庭住房困难的若干意见》（国发〔2007〕24号）</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2.《建设部关于开展旧住宅区整治改造的指导意见》（建住房〔2007〕109号）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03203A">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纳入老旧小区改造范围的旧住宅配套设施完善免缴城市基础设施配套费。主要包括旧住宅内配套设施设备（社区服务设施、文化体育设施、安全防范设施、管理服务用房等）的补建，市政公用设施（供水、供气、供暖、垃圾和污水处理等设施）的健全，其他城市基础设施（供电、电信、邮政等设施）的完善。</w:t>
            </w:r>
          </w:p>
        </w:tc>
      </w:tr>
      <w:tr w14:paraId="2BE8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1AD452E">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5</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027A5C3">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校舍安全工程项目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07EFA36">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1.《财政部关于免征全国中小学校舍安全工程建设有关政府性基金的通知》（财综〔2010〕54号）</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2.《国务院办公厅转发教育部等部门关于建立中小学校舍安全保障长效机制意见的通知》（国办发〔2013〕103号）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7D5519">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城镇和农村、公立和民办、教育系统和非教育系统的所有中小学（含幼儿园）属校舍安全工程的项目，免缴城市基础设施配套费。</w:t>
            </w:r>
          </w:p>
        </w:tc>
      </w:tr>
      <w:tr w14:paraId="04CE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2CDD8C">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6</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F864EC0">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健康服务体系建设项目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2A5A5CE">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《关于加快推进健康与养老服务工程建设的通知》（发改投资〔2014〕2091号）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D99F233">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公共卫生和疾病诊断与治疗综合性或专科性医疗卫生服务设施，慢性疾病管理、术后康复、失能失智人员长期护理、临终关怀等接续性医疗服务设施，以及健康管理与咨询、健康体检、中医药等特色养生保健等健康管理与促进服务设施建设。包括综合医院、中医医院、专科医院、康复医院和护理院、临终关怀机构、健康服务新兴业态以及基层医疗卫生服务设施等6类项目。非营利性项目免缴城市基础设施配套费、营利性项目减半征收城市基础设施配套费。</w:t>
            </w:r>
          </w:p>
        </w:tc>
      </w:tr>
      <w:tr w14:paraId="722B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7066C07">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7</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884F6C5">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养老服务体系建设项目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4C6C055">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《关于加快推进健康与养老服务工程建设的通知》（发改投资〔2014〕2091号）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EA8B509">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为老年人提供膳食供应、个人照顾、保健康复、娱乐和交通接送等日间服务的社区老年人日间照料中心，主要为失能、半失能老人提供生活照料、健康护理、康复娱乐等服务的老年养护院等专业养老服务设施，具备餐饮、清洁卫生、文化娱乐等服务的养老院和医养结合服务设施，以及为农村老。包括社区老年人日间照料中心、老年养护院、养老院和医养结合服务设施、农村养老服务设施等4类项目。非营利性项目免缴城市基础设施配套费，营利性项目减半征收城市基础设施配套费。</w:t>
            </w:r>
          </w:p>
          <w:p w14:paraId="0DDD928B">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2.用于提供社区养老、托育、家政服务的建设项目。非营利性项目免缴城市基础设施配套费，营利性项目减半征收城市基础设施配套费。</w:t>
            </w:r>
          </w:p>
        </w:tc>
      </w:tr>
      <w:tr w14:paraId="1719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AC642B">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8</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5386614">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体育健身设施建设项目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3FDB81B">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《关于加快推进健康与养老服务工程建设的通知》（发改投资〔2014〕2091号）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33622D1">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开展田径、游泳、滑冰、球类等体育运动和培训服务的体育场地和设施，向公众提供健身服务、能够开展多项体育运动的公众健身活动中心，健身步道、健身器械场地、球类场地及社区小型体育设施等户外健身场地，以及提供健身设施场地及培训服务的健身房（馆）建设。包括体育场地和设施、公众健身活动中心、户外健身场地、学校体育设施以及健身房（馆）等5类项目。非营利性项目免缴城市基础设施配套费，营利性项目减半征收城市基础设施配套费。</w:t>
            </w:r>
          </w:p>
        </w:tc>
      </w:tr>
      <w:tr w14:paraId="1070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542F67">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9</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98FC59">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易地扶贫搬迁项目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C8DDE3">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《财政部 国家税务总局关于免征易地扶贫搬迁有关政府性基金和行政事业性收费政策的通知》（财税〔2019〕53号）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49A07A2">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1.不对外销售的易地扶贫搬迁项目，免缴城市基础设施配套费。</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2.在商品住房等开发项目中配套建设易地扶贫搬迁安置住房的,按照安置住房建筑面积免缴城市基础设施配套费。</w:t>
            </w:r>
          </w:p>
        </w:tc>
      </w:tr>
      <w:tr w14:paraId="7399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DB99C0C">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10</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AC1F6E">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城镇老旧小区改造</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9C474C">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1.《国务院办公厅关于全面推进城镇老旧小区改造工作的指导意见》（国办发〔2020〕23号）</w:t>
            </w:r>
          </w:p>
          <w:p w14:paraId="25EB1A98">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2.四川省人民政府办公厅关于全面推进城镇老旧小区改造工作的实施意见（川办发〔2020〕63号）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8A9164">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用于提供社区养老、托育、家政服务的房产，可按现行规定免征城市基础设施配套费。贯彻落实国家相关税费减免政策，对旧住宅区整治一律免收城市基础设施配套费。</w:t>
            </w:r>
          </w:p>
        </w:tc>
      </w:tr>
      <w:tr w14:paraId="3FF9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D12F89">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11</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B23DC91">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军队后勤保障社会化需要配套改造的项目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2772DC">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《关于推进军队后勤保障社会化有关问题的通知》(国发〔2002〕20号)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C4A6923">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对军队后勤保障社会化需要配套改造的项目，免征城市基础设施配套费</w:t>
            </w:r>
          </w:p>
        </w:tc>
      </w:tr>
      <w:tr w14:paraId="281F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819AE8">
            <w:pPr>
              <w:pStyle w:val="2"/>
              <w:keepNext w:val="0"/>
              <w:keepLines w:val="0"/>
              <w:widowControl/>
              <w:suppressLineNumbers w:val="0"/>
              <w:spacing w:before="0" w:beforeAutospacing="0" w:after="0" w:afterAutospacing="0"/>
              <w:ind w:left="0" w:right="0" w:firstLine="21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12</w:t>
            </w: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C5404C0">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其他减免项目</w:t>
            </w:r>
          </w:p>
        </w:tc>
        <w:tc>
          <w:tcPr>
            <w:tcW w:w="35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B5591B0">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1.《财政部关于印发〈政府性基金管理暂行办法〉的通知》（财综〔2010〕80号）</w:t>
            </w:r>
            <w:r>
              <w:rPr>
                <w:rFonts w:hint="default" w:ascii="Times New Roman" w:hAnsi="Times New Roman" w:eastAsia="宋体" w:cs="Times New Roman"/>
                <w:b w:val="0"/>
                <w:bCs w:val="0"/>
                <w:i w:val="0"/>
                <w:iCs w:val="0"/>
                <w:color w:val="auto"/>
                <w:spacing w:val="0"/>
                <w:w w:val="100"/>
                <w:sz w:val="24"/>
                <w:szCs w:val="24"/>
                <w:vertAlign w:val="baseline"/>
              </w:rPr>
              <w:br w:type="textWrapping"/>
            </w:r>
            <w:r>
              <w:rPr>
                <w:rFonts w:hint="default" w:ascii="Times New Roman" w:hAnsi="Times New Roman" w:eastAsia="宋体" w:cs="Times New Roman"/>
                <w:b w:val="0"/>
                <w:bCs w:val="0"/>
                <w:i w:val="0"/>
                <w:iCs w:val="0"/>
                <w:color w:val="auto"/>
                <w:spacing w:val="0"/>
                <w:w w:val="100"/>
                <w:sz w:val="24"/>
                <w:szCs w:val="24"/>
                <w:vertAlign w:val="baseline"/>
              </w:rPr>
              <w:t>2.《财政部关于进一步加强行政事业性收费和政府性基金管理的通知》（财税〔2015〕30号）</w:t>
            </w:r>
          </w:p>
        </w:tc>
        <w:tc>
          <w:tcPr>
            <w:tcW w:w="310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DE1AB9">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b w:val="0"/>
                <w:bCs w:val="0"/>
                <w:i w:val="0"/>
                <w:iCs w:val="0"/>
                <w:color w:val="auto"/>
                <w:spacing w:val="0"/>
                <w:w w:val="100"/>
                <w:sz w:val="24"/>
                <w:szCs w:val="24"/>
                <w:vertAlign w:val="baseline"/>
              </w:rPr>
              <w:t>按照有权机关规定减免城市基础设施配套费。</w:t>
            </w:r>
          </w:p>
        </w:tc>
      </w:tr>
    </w:tbl>
    <w:p w14:paraId="16DDF307">
      <w:pPr>
        <w:rPr>
          <w:rFonts w:hint="default" w:ascii="Times New Roman" w:hAnsi="Times New Roman" w:cs="Times New Roman"/>
          <w:color w:val="auto"/>
        </w:rPr>
      </w:pPr>
    </w:p>
    <w:p w14:paraId="0B1CD2E6">
      <w:pPr>
        <w:rPr>
          <w:rFonts w:hint="default" w:ascii="Times New Roman" w:hAnsi="Times New Roman" w:cs="Times New Roman"/>
          <w:color w:val="auto"/>
        </w:rPr>
      </w:pPr>
    </w:p>
    <w:p w14:paraId="2AD7239F">
      <w:pPr>
        <w:rPr>
          <w:rFonts w:hint="default" w:ascii="Times New Roman" w:hAnsi="Times New Roman" w:cs="Times New Roman"/>
          <w:color w:val="auto"/>
        </w:rPr>
      </w:pPr>
    </w:p>
    <w:p w14:paraId="378E1C9C">
      <w:pPr>
        <w:rPr>
          <w:rFonts w:hint="default" w:ascii="Times New Roman" w:hAnsi="Times New Roman" w:cs="Times New Roman"/>
          <w:color w:val="auto"/>
        </w:rPr>
      </w:pPr>
    </w:p>
    <w:p w14:paraId="3DEC75B3">
      <w:pPr>
        <w:rPr>
          <w:rFonts w:hint="default" w:ascii="Times New Roman" w:hAnsi="Times New Roman" w:cs="Times New Roman"/>
          <w:color w:val="auto"/>
        </w:rPr>
      </w:pPr>
    </w:p>
    <w:p w14:paraId="314956C4">
      <w:pP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附件2</w:t>
      </w:r>
    </w:p>
    <w:p w14:paraId="0DD6EDD3">
      <w:pPr>
        <w:jc w:val="cente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井研县城市基础设施配套费减免审批表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6453"/>
      </w:tblGrid>
      <w:tr w14:paraId="7A2D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733" w:type="dxa"/>
            <w:vAlign w:val="center"/>
          </w:tcPr>
          <w:p w14:paraId="0126021D">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项目名称</w:t>
            </w:r>
          </w:p>
        </w:tc>
        <w:tc>
          <w:tcPr>
            <w:tcW w:w="6453" w:type="dxa"/>
          </w:tcPr>
          <w:p w14:paraId="58007BF3">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tc>
      </w:tr>
      <w:tr w14:paraId="79E9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733" w:type="dxa"/>
            <w:vAlign w:val="center"/>
          </w:tcPr>
          <w:p w14:paraId="51D15861">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项目基本情况</w:t>
            </w:r>
          </w:p>
        </w:tc>
        <w:tc>
          <w:tcPr>
            <w:tcW w:w="6453" w:type="dxa"/>
          </w:tcPr>
          <w:p w14:paraId="0AD2025E">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tc>
      </w:tr>
      <w:tr w14:paraId="6ADB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733" w:type="dxa"/>
          </w:tcPr>
          <w:p w14:paraId="2863D619">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0A52A856">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1935CD50">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减免依据和理由</w:t>
            </w:r>
          </w:p>
        </w:tc>
        <w:tc>
          <w:tcPr>
            <w:tcW w:w="6453" w:type="dxa"/>
          </w:tcPr>
          <w:p w14:paraId="74403C66">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tc>
      </w:tr>
      <w:tr w14:paraId="4D26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2733" w:type="dxa"/>
            <w:vAlign w:val="top"/>
          </w:tcPr>
          <w:p w14:paraId="77D41188">
            <w:pPr>
              <w:bidi w:val="0"/>
              <w:jc w:val="both"/>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7DF4EF26">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5D92B754">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行业主管部门意见</w:t>
            </w:r>
          </w:p>
        </w:tc>
        <w:tc>
          <w:tcPr>
            <w:tcW w:w="6453" w:type="dxa"/>
          </w:tcPr>
          <w:p w14:paraId="1D520B92">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31BF16CA">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316DD960">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（章） </w:t>
            </w:r>
          </w:p>
          <w:p w14:paraId="457CF3EC">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年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月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日</w:t>
            </w:r>
          </w:p>
        </w:tc>
      </w:tr>
      <w:tr w14:paraId="668D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733" w:type="dxa"/>
            <w:vAlign w:val="top"/>
          </w:tcPr>
          <w:p w14:paraId="49CC8A41">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5ED79CC8">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44648993">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县住建局经办人</w:t>
            </w:r>
          </w:p>
          <w:p w14:paraId="7CFDC05D">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初审意见</w:t>
            </w:r>
          </w:p>
          <w:p w14:paraId="7DC93126">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tc>
        <w:tc>
          <w:tcPr>
            <w:tcW w:w="6453" w:type="dxa"/>
          </w:tcPr>
          <w:p w14:paraId="3F70876A">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tc>
      </w:tr>
      <w:tr w14:paraId="0BE1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2733" w:type="dxa"/>
          </w:tcPr>
          <w:p w14:paraId="0FEBB1C1">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68B70B9E">
            <w:pPr>
              <w:bidi w:val="0"/>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73FDB681">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县住建局分管领导</w:t>
            </w:r>
          </w:p>
          <w:p w14:paraId="577D3F8A">
            <w:pPr>
              <w:bidi w:val="0"/>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复核意见</w:t>
            </w:r>
          </w:p>
        </w:tc>
        <w:tc>
          <w:tcPr>
            <w:tcW w:w="6453" w:type="dxa"/>
          </w:tcPr>
          <w:p w14:paraId="5D236624">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tc>
      </w:tr>
      <w:tr w14:paraId="04D0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733" w:type="dxa"/>
            <w:vAlign w:val="top"/>
          </w:tcPr>
          <w:p w14:paraId="27FBB391">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09A32AE6">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1FC2CAEF">
            <w:pPr>
              <w:jc w:val="cente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县住建局主要领导意见</w:t>
            </w:r>
          </w:p>
        </w:tc>
        <w:tc>
          <w:tcPr>
            <w:tcW w:w="6453" w:type="dxa"/>
          </w:tcPr>
          <w:p w14:paraId="24CFCEC5">
            <w:pPr>
              <w:ind w:firstLine="4320" w:firstLineChars="1800"/>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38CB5386">
            <w:pPr>
              <w:ind w:firstLine="4320" w:firstLineChars="1800"/>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7A0296D1">
            <w:pPr>
              <w:ind w:firstLine="4320" w:firstLineChars="1800"/>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2FD6BF64">
            <w:pP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p>
          <w:p w14:paraId="79D107F9">
            <w:pPr>
              <w:ind w:firstLine="4560" w:firstLineChars="1900"/>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（章） </w:t>
            </w:r>
          </w:p>
          <w:p w14:paraId="107C5DCF">
            <w:pPr>
              <w:ind w:firstLine="4560" w:firstLineChars="1900"/>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pP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年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月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olor w:val="auto"/>
                <w:spacing w:val="0"/>
                <w:w w:val="100"/>
                <w:kern w:val="2"/>
                <w:sz w:val="24"/>
                <w:szCs w:val="24"/>
                <w:vertAlign w:val="baseline"/>
                <w:lang w:val="en-US" w:eastAsia="zh-CN" w:bidi="ar-SA"/>
              </w:rPr>
              <w:t>日</w:t>
            </w:r>
          </w:p>
        </w:tc>
      </w:tr>
    </w:tbl>
    <w:p w14:paraId="3582DCB4">
      <w:pPr>
        <w:rPr>
          <w:rFonts w:hint="default" w:ascii="Times New Roman" w:hAnsi="Times New Roman" w:cs="Times New Roman"/>
          <w:color w:val="auto"/>
          <w:lang w:val="en-US" w:eastAsia="zh-CN"/>
        </w:rPr>
      </w:pPr>
    </w:p>
    <w:sectPr>
      <w:pgSz w:w="11906" w:h="16838"/>
      <w:pgMar w:top="2098"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866BE"/>
    <w:rsid w:val="01877B89"/>
    <w:rsid w:val="01A050EF"/>
    <w:rsid w:val="02CD5A6F"/>
    <w:rsid w:val="04602913"/>
    <w:rsid w:val="060379FA"/>
    <w:rsid w:val="069B5E85"/>
    <w:rsid w:val="087921F6"/>
    <w:rsid w:val="0DE34399"/>
    <w:rsid w:val="0E545297"/>
    <w:rsid w:val="11252F1A"/>
    <w:rsid w:val="11C73FD2"/>
    <w:rsid w:val="1209283C"/>
    <w:rsid w:val="13E512B8"/>
    <w:rsid w:val="16F47617"/>
    <w:rsid w:val="17516817"/>
    <w:rsid w:val="1960333D"/>
    <w:rsid w:val="198540F4"/>
    <w:rsid w:val="19E82D37"/>
    <w:rsid w:val="1BF27E9D"/>
    <w:rsid w:val="1C8F393E"/>
    <w:rsid w:val="1CFA525B"/>
    <w:rsid w:val="1D6E17A5"/>
    <w:rsid w:val="1E197549"/>
    <w:rsid w:val="1E222CBC"/>
    <w:rsid w:val="1E8C45D9"/>
    <w:rsid w:val="1ED3045A"/>
    <w:rsid w:val="1EF5217E"/>
    <w:rsid w:val="1F3233D2"/>
    <w:rsid w:val="1F784B5D"/>
    <w:rsid w:val="1FF00B97"/>
    <w:rsid w:val="2059673D"/>
    <w:rsid w:val="20CC5161"/>
    <w:rsid w:val="210B5C89"/>
    <w:rsid w:val="226A69DF"/>
    <w:rsid w:val="22835CF3"/>
    <w:rsid w:val="22A00653"/>
    <w:rsid w:val="22A85759"/>
    <w:rsid w:val="24194B61"/>
    <w:rsid w:val="253B28B5"/>
    <w:rsid w:val="26176E7E"/>
    <w:rsid w:val="29BA46F0"/>
    <w:rsid w:val="2B3C7716"/>
    <w:rsid w:val="2B6F32B8"/>
    <w:rsid w:val="2CD31625"/>
    <w:rsid w:val="2F2F5238"/>
    <w:rsid w:val="31C37EBA"/>
    <w:rsid w:val="348B6F28"/>
    <w:rsid w:val="353E4427"/>
    <w:rsid w:val="358A766C"/>
    <w:rsid w:val="36201D7F"/>
    <w:rsid w:val="36533F02"/>
    <w:rsid w:val="36B9188B"/>
    <w:rsid w:val="37977E1F"/>
    <w:rsid w:val="38196A86"/>
    <w:rsid w:val="38AA45A7"/>
    <w:rsid w:val="38AC5B4C"/>
    <w:rsid w:val="38C16030"/>
    <w:rsid w:val="38F848ED"/>
    <w:rsid w:val="39B76556"/>
    <w:rsid w:val="3B334302"/>
    <w:rsid w:val="3BBF16F2"/>
    <w:rsid w:val="3BEC406F"/>
    <w:rsid w:val="3DF02037"/>
    <w:rsid w:val="3EAD7F28"/>
    <w:rsid w:val="40267F92"/>
    <w:rsid w:val="403A3A3D"/>
    <w:rsid w:val="41BE244C"/>
    <w:rsid w:val="43482915"/>
    <w:rsid w:val="436668AB"/>
    <w:rsid w:val="437C611B"/>
    <w:rsid w:val="44F92119"/>
    <w:rsid w:val="45D466E2"/>
    <w:rsid w:val="46601D24"/>
    <w:rsid w:val="475C073D"/>
    <w:rsid w:val="479003E6"/>
    <w:rsid w:val="482254E2"/>
    <w:rsid w:val="48710218"/>
    <w:rsid w:val="4C8A5D4C"/>
    <w:rsid w:val="4CAA019C"/>
    <w:rsid w:val="4F410416"/>
    <w:rsid w:val="50827466"/>
    <w:rsid w:val="517A013D"/>
    <w:rsid w:val="52A1794C"/>
    <w:rsid w:val="53607807"/>
    <w:rsid w:val="538C4158"/>
    <w:rsid w:val="55175CA3"/>
    <w:rsid w:val="556F788D"/>
    <w:rsid w:val="5886561A"/>
    <w:rsid w:val="58BA3515"/>
    <w:rsid w:val="58C46142"/>
    <w:rsid w:val="594E64E4"/>
    <w:rsid w:val="59A815C0"/>
    <w:rsid w:val="5A04713E"/>
    <w:rsid w:val="5D011713"/>
    <w:rsid w:val="5D330065"/>
    <w:rsid w:val="5D7A3273"/>
    <w:rsid w:val="5F50072F"/>
    <w:rsid w:val="604C0EF7"/>
    <w:rsid w:val="607448F1"/>
    <w:rsid w:val="63497970"/>
    <w:rsid w:val="64AF5EF8"/>
    <w:rsid w:val="64F866BE"/>
    <w:rsid w:val="66430FEE"/>
    <w:rsid w:val="66D93700"/>
    <w:rsid w:val="67A535E2"/>
    <w:rsid w:val="67E4410B"/>
    <w:rsid w:val="6953779A"/>
    <w:rsid w:val="6B064398"/>
    <w:rsid w:val="6B6F018F"/>
    <w:rsid w:val="6BCC3834"/>
    <w:rsid w:val="6BFB1A23"/>
    <w:rsid w:val="6C663340"/>
    <w:rsid w:val="6C671560"/>
    <w:rsid w:val="6CFC5A53"/>
    <w:rsid w:val="6DA32372"/>
    <w:rsid w:val="6DAD4F9F"/>
    <w:rsid w:val="6FA10B33"/>
    <w:rsid w:val="7084648B"/>
    <w:rsid w:val="70926A7C"/>
    <w:rsid w:val="70C90342"/>
    <w:rsid w:val="717E112C"/>
    <w:rsid w:val="72D57472"/>
    <w:rsid w:val="72F71196"/>
    <w:rsid w:val="74DD616A"/>
    <w:rsid w:val="751C1388"/>
    <w:rsid w:val="763E70DC"/>
    <w:rsid w:val="765B1A3C"/>
    <w:rsid w:val="767B0330"/>
    <w:rsid w:val="77EF68E0"/>
    <w:rsid w:val="7BB3231A"/>
    <w:rsid w:val="7E9F26E2"/>
    <w:rsid w:val="7ED700CE"/>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3273</Words>
  <Characters>3405</Characters>
  <Lines>0</Lines>
  <Paragraphs>0</Paragraphs>
  <TotalTime>20</TotalTime>
  <ScaleCrop>false</ScaleCrop>
  <LinksUpToDate>false</LinksUpToDate>
  <CharactersWithSpaces>3493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2025-11-17T06:41:00Z</dcterms:created>
  <dc:creator>陶宸。</dc:creator>
  <cp:lastModifiedBy>苏苏</cp:lastModifiedBy>
  <dcterms:modified xsi:type="dcterms:W3CDTF">2026-05-18T06:42:29Z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3CADB8A025144AEF99B7066750F23BA6_13</vt:lpwstr>
  </property>
  <property fmtid="{D5CDD505-2E9C-101B-9397-08002B2CF9AE}" pid="4" name="KSOTemplateDocerSaveRecord">
    <vt:lpwstr>eyJoZGlkIjoiN2NiMTA3NTQzZGNiMWRhYTliYWU5MmE1YjY4MTE2NzAiLCJ1c2VySWQiOiIxNjAxMjg4MzYwIn0=</vt:lpwstr>
  </property>
</Properties>
</file>