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仿宋_GB2312" w:cs="仿宋_GB2312"/>
          <w:color w:val="000000" w:themeColor="text1"/>
          <w:sz w:val="32"/>
          <w:szCs w:val="32"/>
          <w14:textFill>
            <w14:solidFill>
              <w14:schemeClr w14:val="tx1"/>
            </w14:solidFill>
          </w14:textFill>
        </w:rPr>
      </w:pPr>
    </w:p>
    <w:p>
      <w:pPr>
        <w:spacing w:line="7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7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7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7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7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井研县“十四五”应急体系规划</w:t>
      </w:r>
    </w:p>
    <w:p>
      <w:pPr>
        <w:spacing w:line="700" w:lineRule="exact"/>
        <w:jc w:val="center"/>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（征求意见稿）</w:t>
      </w:r>
    </w:p>
    <w:p>
      <w:pPr>
        <w:spacing w:line="700" w:lineRule="exact"/>
        <w:rPr>
          <w:rFonts w:ascii="仿宋_GB2312" w:hAnsi="仿宋_GB2312" w:eastAsia="仿宋_GB2312" w:cs="仿宋_GB2312"/>
          <w:color w:val="000000" w:themeColor="text1"/>
          <w:sz w:val="32"/>
          <w:szCs w:val="32"/>
          <w14:textFill>
            <w14:solidFill>
              <w14:schemeClr w14:val="tx1"/>
            </w14:solidFill>
          </w14:textFill>
        </w:rPr>
      </w:pPr>
    </w:p>
    <w:p>
      <w:pPr>
        <w:spacing w:line="700" w:lineRule="exact"/>
        <w:rPr>
          <w:rFonts w:ascii="仿宋_GB2312" w:hAnsi="仿宋_GB2312" w:eastAsia="仿宋_GB2312" w:cs="仿宋_GB2312"/>
          <w:color w:val="000000" w:themeColor="text1"/>
          <w:sz w:val="32"/>
          <w:szCs w:val="32"/>
          <w14:textFill>
            <w14:solidFill>
              <w14:schemeClr w14:val="tx1"/>
            </w14:solidFill>
          </w14:textFill>
        </w:rPr>
      </w:pPr>
    </w:p>
    <w:p>
      <w:pPr>
        <w:spacing w:line="700" w:lineRule="exact"/>
        <w:rPr>
          <w:rFonts w:ascii="仿宋_GB2312" w:hAnsi="仿宋_GB2312" w:eastAsia="仿宋_GB2312" w:cs="仿宋_GB2312"/>
          <w:color w:val="000000" w:themeColor="text1"/>
          <w:sz w:val="32"/>
          <w:szCs w:val="32"/>
          <w14:textFill>
            <w14:solidFill>
              <w14:schemeClr w14:val="tx1"/>
            </w14:solidFill>
          </w14:textFill>
        </w:rPr>
      </w:pPr>
    </w:p>
    <w:p>
      <w:pPr>
        <w:spacing w:line="700" w:lineRule="exact"/>
        <w:rPr>
          <w:rFonts w:ascii="仿宋_GB2312" w:hAnsi="仿宋_GB2312" w:eastAsia="仿宋_GB2312" w:cs="仿宋_GB2312"/>
          <w:color w:val="000000" w:themeColor="text1"/>
          <w:sz w:val="32"/>
          <w:szCs w:val="32"/>
          <w14:textFill>
            <w14:solidFill>
              <w14:schemeClr w14:val="tx1"/>
            </w14:solidFill>
          </w14:textFill>
        </w:rPr>
      </w:pPr>
    </w:p>
    <w:p>
      <w:pPr>
        <w:spacing w:line="700" w:lineRule="exact"/>
        <w:rPr>
          <w:rFonts w:ascii="仿宋_GB2312" w:hAnsi="仿宋_GB2312" w:eastAsia="仿宋_GB2312" w:cs="仿宋_GB2312"/>
          <w:color w:val="000000" w:themeColor="text1"/>
          <w:sz w:val="32"/>
          <w:szCs w:val="32"/>
          <w14:textFill>
            <w14:solidFill>
              <w14:schemeClr w14:val="tx1"/>
            </w14:solidFill>
          </w14:textFill>
        </w:rPr>
      </w:pPr>
    </w:p>
    <w:p>
      <w:pPr>
        <w:spacing w:line="700" w:lineRule="exact"/>
        <w:rPr>
          <w:rFonts w:ascii="仿宋_GB2312" w:hAnsi="仿宋_GB2312" w:eastAsia="仿宋_GB2312" w:cs="仿宋_GB2312"/>
          <w:color w:val="000000" w:themeColor="text1"/>
          <w:sz w:val="32"/>
          <w:szCs w:val="32"/>
          <w14:textFill>
            <w14:solidFill>
              <w14:schemeClr w14:val="tx1"/>
            </w14:solidFill>
          </w14:textFill>
        </w:rPr>
      </w:pPr>
    </w:p>
    <w:p>
      <w:pPr>
        <w:spacing w:line="70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p>
    <w:p>
      <w:pPr>
        <w:spacing w:line="700" w:lineRule="exact"/>
        <w:rPr>
          <w:rFonts w:ascii="仿宋_GB2312" w:hAnsi="仿宋_GB2312" w:eastAsia="仿宋_GB2312" w:cs="仿宋_GB2312"/>
          <w:color w:val="000000" w:themeColor="text1"/>
          <w:sz w:val="32"/>
          <w:szCs w:val="32"/>
          <w14:textFill>
            <w14:solidFill>
              <w14:schemeClr w14:val="tx1"/>
            </w14:solidFill>
          </w14:textFill>
        </w:rPr>
      </w:pPr>
    </w:p>
    <w:p>
      <w:pPr>
        <w:spacing w:line="700" w:lineRule="exact"/>
        <w:rPr>
          <w:rFonts w:ascii="仿宋_GB2312" w:hAnsi="仿宋_GB2312" w:eastAsia="仿宋_GB2312" w:cs="仿宋_GB2312"/>
          <w:color w:val="000000" w:themeColor="text1"/>
          <w:sz w:val="32"/>
          <w:szCs w:val="32"/>
          <w14:textFill>
            <w14:solidFill>
              <w14:schemeClr w14:val="tx1"/>
            </w14:solidFill>
          </w14:textFill>
        </w:rPr>
      </w:pPr>
    </w:p>
    <w:p>
      <w:pPr>
        <w:spacing w:line="700" w:lineRule="exact"/>
        <w:rPr>
          <w:rFonts w:ascii="仿宋_GB2312" w:hAnsi="仿宋_GB2312" w:eastAsia="仿宋_GB2312" w:cs="仿宋_GB2312"/>
          <w:color w:val="000000" w:themeColor="text1"/>
          <w:sz w:val="32"/>
          <w:szCs w:val="32"/>
          <w14:textFill>
            <w14:solidFill>
              <w14:schemeClr w14:val="tx1"/>
            </w14:solidFill>
          </w14:textFill>
        </w:rPr>
      </w:pPr>
    </w:p>
    <w:p>
      <w:pPr>
        <w:spacing w:line="700" w:lineRule="exact"/>
        <w:rPr>
          <w:rFonts w:ascii="仿宋_GB2312" w:hAnsi="仿宋_GB2312" w:eastAsia="仿宋_GB2312" w:cs="仿宋_GB2312"/>
          <w:color w:val="000000" w:themeColor="text1"/>
          <w:sz w:val="32"/>
          <w:szCs w:val="32"/>
          <w14:textFill>
            <w14:solidFill>
              <w14:schemeClr w14:val="tx1"/>
            </w14:solidFill>
          </w14:textFill>
        </w:rPr>
      </w:pPr>
    </w:p>
    <w:p>
      <w:pPr>
        <w:spacing w:line="700" w:lineRule="exact"/>
        <w:rPr>
          <w:rFonts w:ascii="仿宋_GB2312" w:hAnsi="仿宋_GB2312" w:eastAsia="仿宋_GB2312" w:cs="仿宋_GB2312"/>
          <w:color w:val="000000" w:themeColor="text1"/>
          <w:sz w:val="32"/>
          <w:szCs w:val="32"/>
          <w14:textFill>
            <w14:solidFill>
              <w14:schemeClr w14:val="tx1"/>
            </w14:solidFill>
          </w14:textFill>
        </w:rPr>
      </w:pPr>
    </w:p>
    <w:p>
      <w:pPr>
        <w:spacing w:line="7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sectPr>
          <w:pgSz w:w="11906" w:h="16838"/>
          <w:pgMar w:top="720" w:right="720" w:bottom="720" w:left="720" w:header="851" w:footer="992" w:gutter="0"/>
          <w:pgNumType w:fmt="numberInDash"/>
          <w:cols w:space="425" w:num="1"/>
          <w:docGrid w:type="lines" w:linePitch="312" w:charSpace="0"/>
        </w:sectPr>
      </w:pPr>
    </w:p>
    <w:p>
      <w:pPr>
        <w:spacing w:line="440" w:lineRule="exact"/>
        <w:jc w:val="center"/>
        <w:rPr>
          <w:rFonts w:ascii="仿宋" w:hAnsi="仿宋" w:eastAsia="仿宋"/>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目录</w:t>
      </w:r>
      <w:r>
        <w:rPr>
          <w:rFonts w:ascii="仿宋" w:hAnsi="仿宋" w:eastAsia="仿宋" w:cs="方正小标宋简体"/>
          <w:color w:val="000000" w:themeColor="text1"/>
          <w:sz w:val="30"/>
          <w:szCs w:val="30"/>
          <w14:textFill>
            <w14:solidFill>
              <w14:schemeClr w14:val="tx1"/>
            </w14:solidFill>
          </w14:textFill>
        </w:rPr>
        <w:fldChar w:fldCharType="begin"/>
      </w:r>
      <w:r>
        <w:rPr>
          <w:rFonts w:ascii="仿宋" w:hAnsi="仿宋" w:eastAsia="仿宋" w:cs="方正小标宋简体"/>
          <w:color w:val="000000" w:themeColor="text1"/>
          <w:sz w:val="30"/>
          <w:szCs w:val="30"/>
          <w14:textFill>
            <w14:solidFill>
              <w14:schemeClr w14:val="tx1"/>
            </w14:solidFill>
          </w14:textFill>
        </w:rPr>
        <w:instrText xml:space="preserve"> </w:instrText>
      </w:r>
      <w:r>
        <w:rPr>
          <w:rFonts w:hint="eastAsia" w:ascii="仿宋" w:hAnsi="仿宋" w:eastAsia="仿宋" w:cs="方正小标宋简体"/>
          <w:color w:val="000000" w:themeColor="text1"/>
          <w:sz w:val="30"/>
          <w:szCs w:val="30"/>
          <w14:textFill>
            <w14:solidFill>
              <w14:schemeClr w14:val="tx1"/>
            </w14:solidFill>
          </w14:textFill>
        </w:rPr>
        <w:instrText xml:space="preserve">TOC \o "1-3" \h \z \u</w:instrText>
      </w:r>
      <w:r>
        <w:rPr>
          <w:rFonts w:ascii="仿宋" w:hAnsi="仿宋" w:eastAsia="仿宋" w:cs="方正小标宋简体"/>
          <w:color w:val="000000" w:themeColor="text1"/>
          <w:sz w:val="30"/>
          <w:szCs w:val="30"/>
          <w14:textFill>
            <w14:solidFill>
              <w14:schemeClr w14:val="tx1"/>
            </w14:solidFill>
          </w14:textFill>
        </w:rPr>
        <w:instrText xml:space="preserve"> </w:instrText>
      </w:r>
      <w:r>
        <w:rPr>
          <w:rFonts w:ascii="仿宋" w:hAnsi="仿宋" w:eastAsia="仿宋" w:cs="方正小标宋简体"/>
          <w:color w:val="000000" w:themeColor="text1"/>
          <w:sz w:val="30"/>
          <w:szCs w:val="30"/>
          <w14:textFill>
            <w14:solidFill>
              <w14:schemeClr w14:val="tx1"/>
            </w14:solidFill>
          </w14:textFill>
        </w:rPr>
        <w:fldChar w:fldCharType="separate"/>
      </w:r>
    </w:p>
    <w:p>
      <w:pPr>
        <w:pStyle w:val="13"/>
        <w:tabs>
          <w:tab w:val="right" w:leader="dot" w:pos="8960"/>
        </w:tabs>
        <w:rPr>
          <w:rFonts w:ascii="仿宋" w:hAnsi="仿宋" w:eastAsia="仿宋" w:cstheme="minorBidi"/>
          <w:color w:val="000000" w:themeColor="text1"/>
          <w:kern w:val="2"/>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"_Toc136873704" </w:instrText>
      </w:r>
      <w:r>
        <w:rPr>
          <w:color w:val="000000" w:themeColor="text1"/>
          <w14:textFill>
            <w14:solidFill>
              <w14:schemeClr w14:val="tx1"/>
            </w14:solidFill>
          </w14:textFill>
        </w:rPr>
        <w:fldChar w:fldCharType="separate"/>
      </w:r>
      <w:r>
        <w:rPr>
          <w:rStyle w:val="19"/>
          <w:rFonts w:hint="eastAsia" w:ascii="仿宋" w:hAnsi="仿宋" w:eastAsia="仿宋"/>
          <w:color w:val="000000" w:themeColor="text1"/>
          <w:sz w:val="32"/>
          <w:szCs w:val="32"/>
          <w14:textFill>
            <w14:solidFill>
              <w14:schemeClr w14:val="tx1"/>
            </w14:solidFill>
          </w14:textFill>
        </w:rPr>
        <w:t>一、规划背景</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_Toc136873704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14"/>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"_Toc136873705" </w:instrText>
      </w:r>
      <w:r>
        <w:rPr>
          <w:color w:val="000000" w:themeColor="text1"/>
          <w14:textFill>
            <w14:solidFill>
              <w14:schemeClr w14:val="tx1"/>
            </w14:solidFill>
          </w14:textFill>
        </w:rPr>
        <w:fldChar w:fldCharType="separate"/>
      </w:r>
      <w:r>
        <w:rPr>
          <w:rStyle w:val="19"/>
          <w:rFonts w:hint="eastAsia" w:ascii="仿宋" w:hAnsi="仿宋" w:eastAsia="仿宋" w:cs="楷体_GB2312"/>
          <w:color w:val="000000" w:themeColor="text1"/>
          <w:sz w:val="32"/>
          <w:szCs w:val="32"/>
          <w14:textFill>
            <w14:solidFill>
              <w14:schemeClr w14:val="tx1"/>
            </w14:solidFill>
          </w14:textFill>
        </w:rPr>
        <w:t>（一）主要成效</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_Toc136873705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"_Toc136873706"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1.</w:t>
      </w:r>
      <w:r>
        <w:rPr>
          <w:rStyle w:val="19"/>
          <w:rFonts w:hint="eastAsia" w:ascii="仿宋" w:hAnsi="仿宋" w:eastAsia="仿宋" w:cs="仿宋_GB2312"/>
          <w:color w:val="000000" w:themeColor="text1"/>
          <w:sz w:val="32"/>
          <w:szCs w:val="32"/>
          <w14:textFill>
            <w14:solidFill>
              <w14:schemeClr w14:val="tx1"/>
            </w14:solidFill>
          </w14:textFill>
        </w:rPr>
        <w:t>体制机制改革有序推进</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_Toc136873706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"_Toc136873707"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2.</w:t>
      </w:r>
      <w:r>
        <w:rPr>
          <w:rStyle w:val="19"/>
          <w:rFonts w:hint="eastAsia" w:ascii="仿宋" w:hAnsi="仿宋" w:eastAsia="仿宋" w:cs="仿宋_GB2312"/>
          <w:color w:val="000000" w:themeColor="text1"/>
          <w:sz w:val="32"/>
          <w:szCs w:val="32"/>
          <w14:textFill>
            <w14:solidFill>
              <w14:schemeClr w14:val="tx1"/>
            </w14:solidFill>
          </w14:textFill>
        </w:rPr>
        <w:t>应急救援能力不断提升</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_Toc136873707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- 2 -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"_Toc136873708"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3.</w:t>
      </w:r>
      <w:r>
        <w:rPr>
          <w:rStyle w:val="19"/>
          <w:rFonts w:hint="eastAsia" w:ascii="仿宋" w:hAnsi="仿宋" w:eastAsia="仿宋" w:cs="仿宋_GB2312"/>
          <w:color w:val="000000" w:themeColor="text1"/>
          <w:sz w:val="32"/>
          <w:szCs w:val="32"/>
          <w14:textFill>
            <w14:solidFill>
              <w14:schemeClr w14:val="tx1"/>
            </w14:solidFill>
          </w14:textFill>
        </w:rPr>
        <w:t>安全生产形势稳定向好</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_Toc136873708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- 3 -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"_Toc136873709"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4.</w:t>
      </w:r>
      <w:r>
        <w:rPr>
          <w:rStyle w:val="19"/>
          <w:rFonts w:hint="eastAsia" w:ascii="仿宋" w:hAnsi="仿宋" w:eastAsia="仿宋" w:cs="仿宋_GB2312"/>
          <w:color w:val="000000" w:themeColor="text1"/>
          <w:sz w:val="32"/>
          <w:szCs w:val="32"/>
          <w14:textFill>
            <w14:solidFill>
              <w14:schemeClr w14:val="tx1"/>
            </w14:solidFill>
          </w14:textFill>
        </w:rPr>
        <w:t>防灾减灾救灾取得显著成效</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_Toc136873709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- 4 -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14"/>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"_Toc136873710" </w:instrText>
      </w:r>
      <w:r>
        <w:rPr>
          <w:color w:val="000000" w:themeColor="text1"/>
          <w14:textFill>
            <w14:solidFill>
              <w14:schemeClr w14:val="tx1"/>
            </w14:solidFill>
          </w14:textFill>
        </w:rPr>
        <w:fldChar w:fldCharType="separate"/>
      </w:r>
      <w:r>
        <w:rPr>
          <w:rStyle w:val="19"/>
          <w:rFonts w:hint="eastAsia" w:ascii="仿宋" w:hAnsi="仿宋" w:eastAsia="仿宋" w:cs="楷体_GB2312"/>
          <w:color w:val="000000" w:themeColor="text1"/>
          <w:sz w:val="32"/>
          <w:szCs w:val="32"/>
          <w14:textFill>
            <w14:solidFill>
              <w14:schemeClr w14:val="tx1"/>
            </w14:solidFill>
          </w14:textFill>
        </w:rPr>
        <w:t>（二）面临挑战</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_Toc136873710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- 4 -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"_Toc136873711"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1.</w:t>
      </w:r>
      <w:r>
        <w:rPr>
          <w:rStyle w:val="19"/>
          <w:rFonts w:hint="eastAsia" w:ascii="仿宋" w:hAnsi="仿宋" w:eastAsia="仿宋" w:cs="仿宋_GB2312"/>
          <w:color w:val="000000" w:themeColor="text1"/>
          <w:sz w:val="32"/>
          <w:szCs w:val="32"/>
          <w14:textFill>
            <w14:solidFill>
              <w14:schemeClr w14:val="tx1"/>
            </w14:solidFill>
          </w14:textFill>
        </w:rPr>
        <w:t>自然灾害环境复杂多变</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_Toc136873711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- 4 -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"_Toc136873712"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2.</w:t>
      </w:r>
      <w:r>
        <w:rPr>
          <w:rStyle w:val="19"/>
          <w:rFonts w:hint="eastAsia" w:ascii="仿宋" w:hAnsi="仿宋" w:eastAsia="仿宋" w:cs="仿宋_GB2312"/>
          <w:color w:val="000000" w:themeColor="text1"/>
          <w:sz w:val="32"/>
          <w:szCs w:val="32"/>
          <w14:textFill>
            <w14:solidFill>
              <w14:schemeClr w14:val="tx1"/>
            </w14:solidFill>
          </w14:textFill>
        </w:rPr>
        <w:t>安全生产形势依然严峻</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_Toc136873712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- 5 -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"_Toc136873713"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3.</w:t>
      </w:r>
      <w:r>
        <w:rPr>
          <w:rStyle w:val="19"/>
          <w:rFonts w:hint="eastAsia" w:ascii="仿宋" w:hAnsi="仿宋" w:eastAsia="仿宋" w:cs="仿宋_GB2312"/>
          <w:color w:val="000000" w:themeColor="text1"/>
          <w:sz w:val="32"/>
          <w:szCs w:val="32"/>
          <w14:textFill>
            <w14:solidFill>
              <w14:schemeClr w14:val="tx1"/>
            </w14:solidFill>
          </w14:textFill>
        </w:rPr>
        <w:t>体制机制改革仍需深化</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_Toc136873713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- 5 -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"_Toc136873714"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4.</w:t>
      </w:r>
      <w:r>
        <w:rPr>
          <w:rStyle w:val="19"/>
          <w:rFonts w:hint="eastAsia" w:ascii="仿宋" w:hAnsi="仿宋" w:eastAsia="仿宋" w:cs="仿宋_GB2312"/>
          <w:color w:val="000000" w:themeColor="text1"/>
          <w:sz w:val="32"/>
          <w:szCs w:val="32"/>
          <w14:textFill>
            <w14:solidFill>
              <w14:schemeClr w14:val="tx1"/>
            </w14:solidFill>
          </w14:textFill>
        </w:rPr>
        <w:t>综合应急能力支撑体系亟待提高</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_Toc136873714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- 5 -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"_Toc136873715"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5.</w:t>
      </w:r>
      <w:r>
        <w:rPr>
          <w:rStyle w:val="19"/>
          <w:rFonts w:hint="eastAsia" w:ascii="仿宋" w:hAnsi="仿宋" w:eastAsia="仿宋" w:cs="仿宋_GB2312"/>
          <w:color w:val="000000" w:themeColor="text1"/>
          <w:sz w:val="32"/>
          <w:szCs w:val="32"/>
          <w14:textFill>
            <w14:solidFill>
              <w14:schemeClr w14:val="tx1"/>
            </w14:solidFill>
          </w14:textFill>
        </w:rPr>
        <w:t>防灾减灾救援能力急需提升</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_Toc136873715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- 6 -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"_Toc136873716"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6.</w:t>
      </w:r>
      <w:r>
        <w:rPr>
          <w:rStyle w:val="19"/>
          <w:rFonts w:hint="eastAsia" w:ascii="仿宋" w:hAnsi="仿宋" w:eastAsia="仿宋" w:cs="仿宋_GB2312"/>
          <w:color w:val="000000" w:themeColor="text1"/>
          <w:sz w:val="32"/>
          <w:szCs w:val="32"/>
          <w14:textFill>
            <w14:solidFill>
              <w14:schemeClr w14:val="tx1"/>
            </w14:solidFill>
          </w14:textFill>
        </w:rPr>
        <w:t>应急管理信息平台亟需整合</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_Toc136873716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- 6 -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14"/>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"_Toc136873717" </w:instrText>
      </w:r>
      <w:r>
        <w:rPr>
          <w:color w:val="000000" w:themeColor="text1"/>
          <w14:textFill>
            <w14:solidFill>
              <w14:schemeClr w14:val="tx1"/>
            </w14:solidFill>
          </w14:textFill>
        </w:rPr>
        <w:fldChar w:fldCharType="separate"/>
      </w:r>
      <w:r>
        <w:rPr>
          <w:rStyle w:val="19"/>
          <w:rFonts w:hint="eastAsia" w:ascii="仿宋" w:hAnsi="仿宋" w:eastAsia="仿宋" w:cs="楷体_GB2312"/>
          <w:color w:val="000000" w:themeColor="text1"/>
          <w:sz w:val="32"/>
          <w:szCs w:val="32"/>
          <w14:textFill>
            <w14:solidFill>
              <w14:schemeClr w14:val="tx1"/>
            </w14:solidFill>
          </w14:textFill>
        </w:rPr>
        <w:t>（三）发展机遇</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_Toc136873717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- 6 -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13"/>
        <w:tabs>
          <w:tab w:val="right" w:leader="dot" w:pos="8960"/>
        </w:tabs>
        <w:rPr>
          <w:rFonts w:ascii="仿宋" w:hAnsi="仿宋" w:eastAsia="仿宋" w:cstheme="minorBidi"/>
          <w:color w:val="000000" w:themeColor="text1"/>
          <w:kern w:val="2"/>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"_Toc136873718" </w:instrText>
      </w:r>
      <w:r>
        <w:rPr>
          <w:color w:val="000000" w:themeColor="text1"/>
          <w14:textFill>
            <w14:solidFill>
              <w14:schemeClr w14:val="tx1"/>
            </w14:solidFill>
          </w14:textFill>
        </w:rPr>
        <w:fldChar w:fldCharType="separate"/>
      </w:r>
      <w:r>
        <w:rPr>
          <w:rStyle w:val="19"/>
          <w:rFonts w:hint="eastAsia" w:ascii="仿宋" w:hAnsi="仿宋" w:eastAsia="仿宋"/>
          <w:color w:val="000000" w:themeColor="text1"/>
          <w:sz w:val="32"/>
          <w:szCs w:val="32"/>
          <w14:textFill>
            <w14:solidFill>
              <w14:schemeClr w14:val="tx1"/>
            </w14:solidFill>
          </w14:textFill>
        </w:rPr>
        <w:t>二、总体要求</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_Toc136873718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- 7 -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14"/>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"_Toc136873719" </w:instrText>
      </w:r>
      <w:r>
        <w:rPr>
          <w:color w:val="000000" w:themeColor="text1"/>
          <w14:textFill>
            <w14:solidFill>
              <w14:schemeClr w14:val="tx1"/>
            </w14:solidFill>
          </w14:textFill>
        </w:rPr>
        <w:fldChar w:fldCharType="separate"/>
      </w:r>
      <w:r>
        <w:rPr>
          <w:rStyle w:val="19"/>
          <w:rFonts w:hint="eastAsia" w:ascii="仿宋" w:hAnsi="仿宋" w:eastAsia="仿宋" w:cs="楷体_GB2312"/>
          <w:color w:val="000000" w:themeColor="text1"/>
          <w:sz w:val="32"/>
          <w:szCs w:val="32"/>
          <w14:textFill>
            <w14:solidFill>
              <w14:schemeClr w14:val="tx1"/>
            </w14:solidFill>
          </w14:textFill>
        </w:rPr>
        <w:t>（一）指导思想</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_Toc136873719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- 7 -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14"/>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"_Toc136873720" </w:instrText>
      </w:r>
      <w:r>
        <w:rPr>
          <w:color w:val="000000" w:themeColor="text1"/>
          <w14:textFill>
            <w14:solidFill>
              <w14:schemeClr w14:val="tx1"/>
            </w14:solidFill>
          </w14:textFill>
        </w:rPr>
        <w:fldChar w:fldCharType="separate"/>
      </w:r>
      <w:r>
        <w:rPr>
          <w:rStyle w:val="19"/>
          <w:rFonts w:hint="eastAsia" w:ascii="仿宋" w:hAnsi="仿宋" w:eastAsia="仿宋" w:cs="楷体_GB2312"/>
          <w:color w:val="000000" w:themeColor="text1"/>
          <w:sz w:val="32"/>
          <w:szCs w:val="32"/>
          <w14:textFill>
            <w14:solidFill>
              <w14:schemeClr w14:val="tx1"/>
            </w14:solidFill>
          </w14:textFill>
        </w:rPr>
        <w:t>（二）基本原则</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_Toc136873720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- 8 -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"_Toc136873721"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1.</w:t>
      </w:r>
      <w:r>
        <w:rPr>
          <w:rStyle w:val="19"/>
          <w:rFonts w:hint="eastAsia" w:ascii="仿宋" w:hAnsi="仿宋" w:eastAsia="仿宋" w:cs="仿宋_GB2312"/>
          <w:color w:val="000000" w:themeColor="text1"/>
          <w:sz w:val="32"/>
          <w:szCs w:val="32"/>
          <w14:textFill>
            <w14:solidFill>
              <w14:schemeClr w14:val="tx1"/>
            </w14:solidFill>
          </w14:textFill>
        </w:rPr>
        <w:t>坚持党的领导</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_Toc136873721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- 8 -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"_Toc136873722"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2.</w:t>
      </w:r>
      <w:r>
        <w:rPr>
          <w:rStyle w:val="19"/>
          <w:rFonts w:hint="eastAsia" w:ascii="仿宋" w:hAnsi="仿宋" w:eastAsia="仿宋" w:cs="仿宋_GB2312"/>
          <w:color w:val="000000" w:themeColor="text1"/>
          <w:sz w:val="32"/>
          <w:szCs w:val="32"/>
          <w14:textFill>
            <w14:solidFill>
              <w14:schemeClr w14:val="tx1"/>
            </w14:solidFill>
          </w14:textFill>
        </w:rPr>
        <w:t>坚持以人为本</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_Toc136873722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- 8 -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"_Toc136873723"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3.</w:t>
      </w:r>
      <w:r>
        <w:rPr>
          <w:rStyle w:val="19"/>
          <w:rFonts w:hint="eastAsia" w:ascii="仿宋" w:hAnsi="仿宋" w:eastAsia="仿宋" w:cs="仿宋_GB2312"/>
          <w:color w:val="000000" w:themeColor="text1"/>
          <w:sz w:val="32"/>
          <w:szCs w:val="32"/>
          <w14:textFill>
            <w14:solidFill>
              <w14:schemeClr w14:val="tx1"/>
            </w14:solidFill>
          </w14:textFill>
        </w:rPr>
        <w:t>坚持预防为主</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_Toc136873723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- 8 -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"_Toc136873724"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4.</w:t>
      </w:r>
      <w:r>
        <w:rPr>
          <w:rStyle w:val="19"/>
          <w:rFonts w:hint="eastAsia" w:ascii="仿宋" w:hAnsi="仿宋" w:eastAsia="仿宋" w:cs="仿宋_GB2312"/>
          <w:color w:val="000000" w:themeColor="text1"/>
          <w:sz w:val="32"/>
          <w:szCs w:val="32"/>
          <w14:textFill>
            <w14:solidFill>
              <w14:schemeClr w14:val="tx1"/>
            </w14:solidFill>
          </w14:textFill>
        </w:rPr>
        <w:t>坚持改革创新</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_Toc136873724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- 9 -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"_Toc136873725"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5.</w:t>
      </w:r>
      <w:r>
        <w:rPr>
          <w:rStyle w:val="19"/>
          <w:rFonts w:hint="eastAsia" w:ascii="仿宋" w:hAnsi="仿宋" w:eastAsia="仿宋" w:cs="仿宋_GB2312"/>
          <w:color w:val="000000" w:themeColor="text1"/>
          <w:sz w:val="32"/>
          <w:szCs w:val="32"/>
          <w14:textFill>
            <w14:solidFill>
              <w14:schemeClr w14:val="tx1"/>
            </w14:solidFill>
          </w14:textFill>
        </w:rPr>
        <w:t>坚持共建共治</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_Toc136873725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- 9 -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14"/>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"_Toc136873726" </w:instrText>
      </w:r>
      <w:r>
        <w:rPr>
          <w:color w:val="000000" w:themeColor="text1"/>
          <w14:textFill>
            <w14:solidFill>
              <w14:schemeClr w14:val="tx1"/>
            </w14:solidFill>
          </w14:textFill>
        </w:rPr>
        <w:fldChar w:fldCharType="separate"/>
      </w:r>
      <w:r>
        <w:rPr>
          <w:rStyle w:val="19"/>
          <w:rFonts w:hint="eastAsia" w:ascii="仿宋" w:hAnsi="仿宋" w:eastAsia="仿宋" w:cs="楷体_GB2312"/>
          <w:color w:val="000000" w:themeColor="text1"/>
          <w:sz w:val="32"/>
          <w:szCs w:val="32"/>
          <w14:textFill>
            <w14:solidFill>
              <w14:schemeClr w14:val="tx1"/>
            </w14:solidFill>
          </w14:textFill>
        </w:rPr>
        <w:t>（三）主要目标</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_Toc136873726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- 9 -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"_Toc136873727"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1.</w:t>
      </w:r>
      <w:r>
        <w:rPr>
          <w:rStyle w:val="19"/>
          <w:rFonts w:hint="eastAsia" w:ascii="仿宋" w:hAnsi="仿宋" w:eastAsia="仿宋" w:cs="仿宋_GB2312"/>
          <w:color w:val="000000" w:themeColor="text1"/>
          <w:sz w:val="32"/>
          <w:szCs w:val="32"/>
          <w14:textFill>
            <w14:solidFill>
              <w14:schemeClr w14:val="tx1"/>
            </w14:solidFill>
          </w14:textFill>
        </w:rPr>
        <w:t>应急管理体制机制更加完善</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_Toc136873727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- 9 -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"_Toc136873728"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2.</w:t>
      </w:r>
      <w:r>
        <w:rPr>
          <w:rStyle w:val="19"/>
          <w:rFonts w:hint="eastAsia" w:ascii="仿宋" w:hAnsi="仿宋" w:eastAsia="仿宋" w:cs="仿宋_GB2312"/>
          <w:color w:val="000000" w:themeColor="text1"/>
          <w:sz w:val="32"/>
          <w:szCs w:val="32"/>
          <w14:textFill>
            <w14:solidFill>
              <w14:schemeClr w14:val="tx1"/>
            </w14:solidFill>
          </w14:textFill>
        </w:rPr>
        <w:t>应对处置事故灾害能力显著增强</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_Toc136873728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- 9 -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"_Toc136873729"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3.</w:t>
      </w:r>
      <w:r>
        <w:rPr>
          <w:rStyle w:val="19"/>
          <w:rFonts w:hint="eastAsia" w:ascii="仿宋" w:hAnsi="仿宋" w:eastAsia="仿宋" w:cs="仿宋_GB2312"/>
          <w:color w:val="000000" w:themeColor="text1"/>
          <w:sz w:val="32"/>
          <w:szCs w:val="32"/>
          <w14:textFill>
            <w14:solidFill>
              <w14:schemeClr w14:val="tx1"/>
            </w14:solidFill>
          </w14:textFill>
        </w:rPr>
        <w:t>安全风险防控能力全面提升</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_Toc136873729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- 10 -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13"/>
        <w:tabs>
          <w:tab w:val="right" w:leader="dot" w:pos="8960"/>
        </w:tabs>
        <w:rPr>
          <w:rFonts w:ascii="仿宋" w:hAnsi="仿宋" w:eastAsia="仿宋" w:cstheme="minorBidi"/>
          <w:color w:val="000000" w:themeColor="text1"/>
          <w:kern w:val="2"/>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"_Toc136873730" </w:instrText>
      </w:r>
      <w:r>
        <w:rPr>
          <w:color w:val="000000" w:themeColor="text1"/>
          <w14:textFill>
            <w14:solidFill>
              <w14:schemeClr w14:val="tx1"/>
            </w14:solidFill>
          </w14:textFill>
        </w:rPr>
        <w:fldChar w:fldCharType="separate"/>
      </w:r>
      <w:r>
        <w:rPr>
          <w:rStyle w:val="19"/>
          <w:rFonts w:hint="eastAsia" w:ascii="仿宋" w:hAnsi="仿宋" w:eastAsia="仿宋"/>
          <w:color w:val="000000" w:themeColor="text1"/>
          <w:sz w:val="32"/>
          <w:szCs w:val="32"/>
          <w14:textFill>
            <w14:solidFill>
              <w14:schemeClr w14:val="tx1"/>
            </w14:solidFill>
          </w14:textFill>
        </w:rPr>
        <w:t>三、主要任务</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_Toc136873730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- 10 -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14"/>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"_Toc136873731" </w:instrText>
      </w:r>
      <w:r>
        <w:rPr>
          <w:color w:val="000000" w:themeColor="text1"/>
          <w14:textFill>
            <w14:solidFill>
              <w14:schemeClr w14:val="tx1"/>
            </w14:solidFill>
          </w14:textFill>
        </w:rPr>
        <w:fldChar w:fldCharType="separate"/>
      </w:r>
      <w:r>
        <w:rPr>
          <w:rStyle w:val="19"/>
          <w:rFonts w:hint="eastAsia" w:ascii="仿宋" w:hAnsi="仿宋" w:eastAsia="仿宋" w:cs="楷体_GB2312"/>
          <w:color w:val="000000" w:themeColor="text1"/>
          <w:sz w:val="32"/>
          <w:szCs w:val="32"/>
          <w14:textFill>
            <w14:solidFill>
              <w14:schemeClr w14:val="tx1"/>
            </w14:solidFill>
          </w14:textFill>
        </w:rPr>
        <w:t>（一）深化应急管理体制机制改革</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_Toc136873731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- 10 -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"_Toc136873732"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1.</w:t>
      </w:r>
      <w:r>
        <w:rPr>
          <w:rStyle w:val="19"/>
          <w:rFonts w:hint="eastAsia" w:ascii="仿宋" w:hAnsi="仿宋" w:eastAsia="仿宋" w:cs="仿宋_GB2312"/>
          <w:color w:val="000000" w:themeColor="text1"/>
          <w:sz w:val="32"/>
          <w:szCs w:val="32"/>
          <w14:textFill>
            <w14:solidFill>
              <w14:schemeClr w14:val="tx1"/>
            </w14:solidFill>
          </w14:textFill>
        </w:rPr>
        <w:t>进一步健全组织领导体制</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_Toc136873732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- 10 -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"_Toc136873733"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2.</w:t>
      </w:r>
      <w:r>
        <w:rPr>
          <w:rStyle w:val="19"/>
          <w:rFonts w:hint="eastAsia" w:ascii="仿宋" w:hAnsi="仿宋" w:eastAsia="仿宋" w:cs="仿宋_GB2312"/>
          <w:color w:val="000000" w:themeColor="text1"/>
          <w:sz w:val="32"/>
          <w:szCs w:val="32"/>
          <w14:textFill>
            <w14:solidFill>
              <w14:schemeClr w14:val="tx1"/>
            </w14:solidFill>
          </w14:textFill>
        </w:rPr>
        <w:t>优化协同联动和应急指挥机制</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_Toc136873733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- 11 -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"_Toc136873734"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3.</w:t>
      </w:r>
      <w:r>
        <w:rPr>
          <w:rStyle w:val="19"/>
          <w:rFonts w:hint="eastAsia" w:ascii="仿宋" w:hAnsi="仿宋" w:eastAsia="仿宋" w:cs="仿宋_GB2312"/>
          <w:color w:val="000000" w:themeColor="text1"/>
          <w:sz w:val="32"/>
          <w:szCs w:val="32"/>
          <w14:textFill>
            <w14:solidFill>
              <w14:schemeClr w14:val="tx1"/>
            </w14:solidFill>
          </w14:textFill>
        </w:rPr>
        <w:t>压实应急管理责任</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_Toc136873734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- 12 -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14"/>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"_Toc136873735" </w:instrText>
      </w:r>
      <w:r>
        <w:rPr>
          <w:color w:val="000000" w:themeColor="text1"/>
          <w14:textFill>
            <w14:solidFill>
              <w14:schemeClr w14:val="tx1"/>
            </w14:solidFill>
          </w14:textFill>
        </w:rPr>
        <w:fldChar w:fldCharType="separate"/>
      </w:r>
      <w:r>
        <w:rPr>
          <w:rStyle w:val="19"/>
          <w:rFonts w:hint="eastAsia" w:ascii="仿宋" w:hAnsi="仿宋" w:eastAsia="仿宋" w:cs="楷体_GB2312"/>
          <w:color w:val="000000" w:themeColor="text1"/>
          <w:sz w:val="32"/>
          <w:szCs w:val="32"/>
          <w14:textFill>
            <w14:solidFill>
              <w14:schemeClr w14:val="tx1"/>
            </w14:solidFill>
          </w14:textFill>
        </w:rPr>
        <w:t>（二）防范化解重大生产安全风险</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_Toc136873735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- 12 -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"_Toc136873736"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1.</w:t>
      </w:r>
      <w:r>
        <w:rPr>
          <w:rStyle w:val="19"/>
          <w:rFonts w:hint="eastAsia" w:ascii="仿宋" w:hAnsi="仿宋" w:eastAsia="仿宋" w:cs="仿宋_GB2312"/>
          <w:color w:val="000000" w:themeColor="text1"/>
          <w:sz w:val="32"/>
          <w:szCs w:val="32"/>
          <w14:textFill>
            <w14:solidFill>
              <w14:schemeClr w14:val="tx1"/>
            </w14:solidFill>
          </w14:textFill>
        </w:rPr>
        <w:t>加强风险源头管控</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_Toc136873736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- 12 -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"_Toc136873737"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2.</w:t>
      </w:r>
      <w:r>
        <w:rPr>
          <w:rStyle w:val="19"/>
          <w:rFonts w:hint="eastAsia" w:ascii="仿宋" w:hAnsi="仿宋" w:eastAsia="仿宋" w:cs="仿宋_GB2312"/>
          <w:color w:val="000000" w:themeColor="text1"/>
          <w:sz w:val="32"/>
          <w:szCs w:val="32"/>
          <w14:textFill>
            <w14:solidFill>
              <w14:schemeClr w14:val="tx1"/>
            </w14:solidFill>
          </w14:textFill>
        </w:rPr>
        <w:t>健全完善双重预防机制</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_Toc136873737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- 13 -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"_Toc136873738"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3.</w:t>
      </w:r>
      <w:r>
        <w:rPr>
          <w:rStyle w:val="19"/>
          <w:rFonts w:hint="eastAsia" w:ascii="仿宋" w:hAnsi="仿宋" w:eastAsia="仿宋" w:cs="仿宋_GB2312"/>
          <w:color w:val="000000" w:themeColor="text1"/>
          <w:sz w:val="32"/>
          <w:szCs w:val="32"/>
          <w14:textFill>
            <w14:solidFill>
              <w14:schemeClr w14:val="tx1"/>
            </w14:solidFill>
          </w14:textFill>
        </w:rPr>
        <w:t>加强安全生产专项整治</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_Toc136873738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- 13 -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"_Toc136873739"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4.</w:t>
      </w:r>
      <w:r>
        <w:rPr>
          <w:rStyle w:val="19"/>
          <w:rFonts w:hint="eastAsia" w:ascii="仿宋" w:hAnsi="仿宋" w:eastAsia="仿宋" w:cs="仿宋_GB2312"/>
          <w:color w:val="000000" w:themeColor="text1"/>
          <w:sz w:val="32"/>
          <w:szCs w:val="32"/>
          <w14:textFill>
            <w14:solidFill>
              <w14:schemeClr w14:val="tx1"/>
            </w14:solidFill>
          </w14:textFill>
        </w:rPr>
        <w:t>强化重点行业安全监管</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_Toc136873739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- 14 -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14"/>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"_Toc136873740" </w:instrText>
      </w:r>
      <w:r>
        <w:rPr>
          <w:color w:val="000000" w:themeColor="text1"/>
          <w14:textFill>
            <w14:solidFill>
              <w14:schemeClr w14:val="tx1"/>
            </w14:solidFill>
          </w14:textFill>
        </w:rPr>
        <w:fldChar w:fldCharType="separate"/>
      </w:r>
      <w:r>
        <w:rPr>
          <w:rStyle w:val="19"/>
          <w:rFonts w:hint="eastAsia" w:ascii="仿宋" w:hAnsi="仿宋" w:eastAsia="仿宋" w:cs="楷体_GB2312"/>
          <w:color w:val="000000" w:themeColor="text1"/>
          <w:sz w:val="32"/>
          <w:szCs w:val="32"/>
          <w14:textFill>
            <w14:solidFill>
              <w14:schemeClr w14:val="tx1"/>
            </w14:solidFill>
          </w14:textFill>
        </w:rPr>
        <w:t>（三）推进综合防灾减灾工作</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_Toc136873740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- 15 -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"_Toc136873741"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1.</w:t>
      </w:r>
      <w:r>
        <w:rPr>
          <w:rStyle w:val="19"/>
          <w:rFonts w:hint="eastAsia" w:ascii="仿宋" w:hAnsi="仿宋" w:eastAsia="仿宋" w:cs="仿宋_GB2312"/>
          <w:color w:val="000000" w:themeColor="text1"/>
          <w:sz w:val="32"/>
          <w:szCs w:val="32"/>
          <w14:textFill>
            <w14:solidFill>
              <w14:schemeClr w14:val="tx1"/>
            </w14:solidFill>
          </w14:textFill>
        </w:rPr>
        <w:t>开展自然灾害综合风险普查</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_Toc136873741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- 15 -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"_Toc136873742"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2.</w:t>
      </w:r>
      <w:r>
        <w:rPr>
          <w:rStyle w:val="19"/>
          <w:rFonts w:hint="eastAsia" w:ascii="仿宋" w:hAnsi="仿宋" w:eastAsia="仿宋" w:cs="仿宋_GB2312"/>
          <w:color w:val="000000" w:themeColor="text1"/>
          <w:sz w:val="32"/>
          <w:szCs w:val="32"/>
          <w14:textFill>
            <w14:solidFill>
              <w14:schemeClr w14:val="tx1"/>
            </w14:solidFill>
          </w14:textFill>
        </w:rPr>
        <w:t>推动自然灾害风险隐患治理</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_Toc136873742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- 15 -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"_Toc136873743"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3.</w:t>
      </w:r>
      <w:r>
        <w:rPr>
          <w:rStyle w:val="19"/>
          <w:rFonts w:hint="eastAsia" w:ascii="仿宋" w:hAnsi="仿宋" w:eastAsia="仿宋" w:cs="仿宋_GB2312"/>
          <w:color w:val="000000" w:themeColor="text1"/>
          <w:sz w:val="32"/>
          <w:szCs w:val="32"/>
          <w14:textFill>
            <w14:solidFill>
              <w14:schemeClr w14:val="tx1"/>
            </w14:solidFill>
          </w14:textFill>
        </w:rPr>
        <w:t>加强多灾种精准监测预警</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_Toc136873743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- 16 -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"_Toc136873744"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4.</w:t>
      </w:r>
      <w:r>
        <w:rPr>
          <w:rStyle w:val="19"/>
          <w:rFonts w:hint="eastAsia" w:ascii="仿宋" w:hAnsi="仿宋" w:eastAsia="仿宋" w:cs="仿宋_GB2312"/>
          <w:color w:val="000000" w:themeColor="text1"/>
          <w:sz w:val="32"/>
          <w:szCs w:val="32"/>
          <w14:textFill>
            <w14:solidFill>
              <w14:schemeClr w14:val="tx1"/>
            </w14:solidFill>
          </w14:textFill>
        </w:rPr>
        <w:t>持续提升森林防灭火能力</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_Toc136873744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- 16 -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"_Toc136873745"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5.</w:t>
      </w:r>
      <w:r>
        <w:rPr>
          <w:rStyle w:val="19"/>
          <w:rFonts w:hint="eastAsia" w:ascii="仿宋" w:hAnsi="仿宋" w:eastAsia="仿宋" w:cs="仿宋_GB2312"/>
          <w:color w:val="000000" w:themeColor="text1"/>
          <w:sz w:val="32"/>
          <w:szCs w:val="32"/>
          <w14:textFill>
            <w14:solidFill>
              <w14:schemeClr w14:val="tx1"/>
            </w14:solidFill>
          </w14:textFill>
        </w:rPr>
        <w:t>进一步加强防震减灾工作</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_Toc136873745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- 17 -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14"/>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"_Toc136873746" </w:instrText>
      </w:r>
      <w:r>
        <w:rPr>
          <w:color w:val="000000" w:themeColor="text1"/>
          <w14:textFill>
            <w14:solidFill>
              <w14:schemeClr w14:val="tx1"/>
            </w14:solidFill>
          </w14:textFill>
        </w:rPr>
        <w:fldChar w:fldCharType="separate"/>
      </w:r>
      <w:r>
        <w:rPr>
          <w:rStyle w:val="19"/>
          <w:rFonts w:hint="eastAsia" w:ascii="仿宋" w:hAnsi="仿宋" w:eastAsia="仿宋" w:cs="楷体_GB2312"/>
          <w:color w:val="000000" w:themeColor="text1"/>
          <w:sz w:val="32"/>
          <w:szCs w:val="32"/>
          <w14:textFill>
            <w14:solidFill>
              <w14:schemeClr w14:val="tx1"/>
            </w14:solidFill>
          </w14:textFill>
        </w:rPr>
        <w:t>（四）加强应急救援能力建设</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_Toc136873746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- 17 -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"_Toc136873747"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1.</w:t>
      </w:r>
      <w:r>
        <w:rPr>
          <w:rStyle w:val="19"/>
          <w:rFonts w:hint="eastAsia" w:ascii="仿宋" w:hAnsi="仿宋" w:eastAsia="仿宋" w:cs="仿宋_GB2312"/>
          <w:color w:val="000000" w:themeColor="text1"/>
          <w:sz w:val="32"/>
          <w:szCs w:val="32"/>
          <w14:textFill>
            <w14:solidFill>
              <w14:schemeClr w14:val="tx1"/>
            </w14:solidFill>
          </w14:textFill>
        </w:rPr>
        <w:t>提升综合应急救援能力</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_Toc136873747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- 17 -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"_Toc136873748"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2.</w:t>
      </w:r>
      <w:r>
        <w:rPr>
          <w:rStyle w:val="19"/>
          <w:rFonts w:hint="eastAsia" w:ascii="仿宋" w:hAnsi="仿宋" w:eastAsia="仿宋" w:cs="仿宋_GB2312"/>
          <w:color w:val="000000" w:themeColor="text1"/>
          <w:sz w:val="32"/>
          <w:szCs w:val="32"/>
          <w14:textFill>
            <w14:solidFill>
              <w14:schemeClr w14:val="tx1"/>
            </w14:solidFill>
          </w14:textFill>
        </w:rPr>
        <w:t>建强综合性消防救援队伍</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_Toc136873748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- 18 -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"_Toc136873749"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3.</w:t>
      </w:r>
      <w:r>
        <w:rPr>
          <w:rStyle w:val="19"/>
          <w:rFonts w:hint="eastAsia" w:ascii="仿宋" w:hAnsi="仿宋" w:eastAsia="仿宋" w:cs="仿宋_GB2312"/>
          <w:color w:val="000000" w:themeColor="text1"/>
          <w:sz w:val="32"/>
          <w:szCs w:val="32"/>
          <w14:textFill>
            <w14:solidFill>
              <w14:schemeClr w14:val="tx1"/>
            </w14:solidFill>
          </w14:textFill>
        </w:rPr>
        <w:t>充实专业性骨干救援队伍</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_Toc136873749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- 18 -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"_Toc136873750"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 xml:space="preserve">4. </w:t>
      </w:r>
      <w:r>
        <w:rPr>
          <w:rStyle w:val="19"/>
          <w:rFonts w:hint="eastAsia" w:ascii="仿宋" w:hAnsi="仿宋" w:eastAsia="仿宋" w:cs="仿宋_GB2312"/>
          <w:color w:val="000000" w:themeColor="text1"/>
          <w:sz w:val="32"/>
          <w:szCs w:val="32"/>
          <w14:textFill>
            <w14:solidFill>
              <w14:schemeClr w14:val="tx1"/>
            </w14:solidFill>
          </w14:textFill>
        </w:rPr>
        <w:t>发展社会救援力量</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_Toc136873750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- 18 -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"_Toc136873751"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5.</w:t>
      </w:r>
      <w:r>
        <w:rPr>
          <w:rStyle w:val="19"/>
          <w:rFonts w:hint="eastAsia" w:ascii="仿宋" w:hAnsi="仿宋" w:eastAsia="仿宋" w:cs="仿宋_GB2312"/>
          <w:color w:val="000000" w:themeColor="text1"/>
          <w:sz w:val="32"/>
          <w:szCs w:val="32"/>
          <w14:textFill>
            <w14:solidFill>
              <w14:schemeClr w14:val="tx1"/>
            </w14:solidFill>
          </w14:textFill>
        </w:rPr>
        <w:t>提升军地、区域联动水平</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_Toc136873751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- 19 -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14"/>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"_Toc136873752" </w:instrText>
      </w:r>
      <w:r>
        <w:rPr>
          <w:color w:val="000000" w:themeColor="text1"/>
          <w14:textFill>
            <w14:solidFill>
              <w14:schemeClr w14:val="tx1"/>
            </w14:solidFill>
          </w14:textFill>
        </w:rPr>
        <w:fldChar w:fldCharType="separate"/>
      </w:r>
      <w:r>
        <w:rPr>
          <w:rStyle w:val="19"/>
          <w:rFonts w:hint="eastAsia" w:ascii="仿宋" w:hAnsi="仿宋" w:eastAsia="仿宋" w:cs="楷体_GB2312"/>
          <w:color w:val="000000" w:themeColor="text1"/>
          <w:sz w:val="32"/>
          <w:szCs w:val="32"/>
          <w14:textFill>
            <w14:solidFill>
              <w14:schemeClr w14:val="tx1"/>
            </w14:solidFill>
          </w14:textFill>
        </w:rPr>
        <w:t>（五）加强应急基础和保障能力建设</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_Toc136873752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- 19 -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"_Toc136873753"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1.</w:t>
      </w:r>
      <w:r>
        <w:rPr>
          <w:rStyle w:val="19"/>
          <w:rFonts w:hint="eastAsia" w:ascii="仿宋" w:hAnsi="仿宋" w:eastAsia="仿宋" w:cs="仿宋_GB2312"/>
          <w:color w:val="000000" w:themeColor="text1"/>
          <w:sz w:val="32"/>
          <w:szCs w:val="32"/>
          <w14:textFill>
            <w14:solidFill>
              <w14:schemeClr w14:val="tx1"/>
            </w14:solidFill>
          </w14:textFill>
        </w:rPr>
        <w:t>强化应急物资保障</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_Toc136873753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- 19 -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"_Toc136873754"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2.</w:t>
      </w:r>
      <w:r>
        <w:rPr>
          <w:rStyle w:val="19"/>
          <w:rFonts w:hint="eastAsia" w:ascii="仿宋" w:hAnsi="仿宋" w:eastAsia="仿宋" w:cs="仿宋_GB2312"/>
          <w:color w:val="000000" w:themeColor="text1"/>
          <w:sz w:val="32"/>
          <w:szCs w:val="32"/>
          <w14:textFill>
            <w14:solidFill>
              <w14:schemeClr w14:val="tx1"/>
            </w14:solidFill>
          </w14:textFill>
        </w:rPr>
        <w:t>健全完善应急预案</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_Toc136873754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- 20 -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"_Toc136873755"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3.</w:t>
      </w:r>
      <w:r>
        <w:rPr>
          <w:rStyle w:val="19"/>
          <w:rFonts w:hint="eastAsia" w:ascii="仿宋" w:hAnsi="仿宋" w:eastAsia="仿宋" w:cs="仿宋_GB2312"/>
          <w:color w:val="000000" w:themeColor="text1"/>
          <w:sz w:val="32"/>
          <w:szCs w:val="32"/>
          <w14:textFill>
            <w14:solidFill>
              <w14:schemeClr w14:val="tx1"/>
            </w14:solidFill>
          </w14:textFill>
        </w:rPr>
        <w:t>提升灾害救助水平</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_Toc136873755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- 20 -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14"/>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"_Toc136873756" </w:instrText>
      </w:r>
      <w:r>
        <w:rPr>
          <w:color w:val="000000" w:themeColor="text1"/>
          <w14:textFill>
            <w14:solidFill>
              <w14:schemeClr w14:val="tx1"/>
            </w14:solidFill>
          </w14:textFill>
        </w:rPr>
        <w:fldChar w:fldCharType="separate"/>
      </w:r>
      <w:r>
        <w:rPr>
          <w:rStyle w:val="19"/>
          <w:rFonts w:hint="eastAsia" w:ascii="仿宋" w:hAnsi="仿宋" w:eastAsia="仿宋" w:cs="楷体_GB2312"/>
          <w:color w:val="000000" w:themeColor="text1"/>
          <w:sz w:val="32"/>
          <w:szCs w:val="32"/>
          <w14:textFill>
            <w14:solidFill>
              <w14:schemeClr w14:val="tx1"/>
            </w14:solidFill>
          </w14:textFill>
        </w:rPr>
        <w:t>（六）提升应急管理依法治理水平</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_Toc136873756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- 21 -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"_Toc136873757"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1.</w:t>
      </w:r>
      <w:r>
        <w:rPr>
          <w:rStyle w:val="19"/>
          <w:rFonts w:hint="eastAsia" w:ascii="仿宋" w:hAnsi="仿宋" w:eastAsia="仿宋" w:cs="仿宋_GB2312"/>
          <w:color w:val="000000" w:themeColor="text1"/>
          <w:sz w:val="32"/>
          <w:szCs w:val="32"/>
          <w14:textFill>
            <w14:solidFill>
              <w14:schemeClr w14:val="tx1"/>
            </w14:solidFill>
          </w14:textFill>
        </w:rPr>
        <w:t>加强应急管理综合执法队伍建设</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_Toc136873757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- 21 -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"_Toc136873758"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2.</w:t>
      </w:r>
      <w:r>
        <w:rPr>
          <w:rStyle w:val="19"/>
          <w:rFonts w:hint="eastAsia" w:ascii="仿宋" w:hAnsi="仿宋" w:eastAsia="仿宋" w:cs="仿宋_GB2312"/>
          <w:color w:val="000000" w:themeColor="text1"/>
          <w:sz w:val="32"/>
          <w:szCs w:val="32"/>
          <w14:textFill>
            <w14:solidFill>
              <w14:schemeClr w14:val="tx1"/>
            </w14:solidFill>
          </w14:textFill>
        </w:rPr>
        <w:t>强化行政执法监督</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_Toc136873758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- 21 -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"_Toc136873759"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3.</w:t>
      </w:r>
      <w:r>
        <w:rPr>
          <w:rStyle w:val="19"/>
          <w:rFonts w:hint="eastAsia" w:ascii="仿宋" w:hAnsi="仿宋" w:eastAsia="仿宋" w:cs="仿宋_GB2312"/>
          <w:color w:val="000000" w:themeColor="text1"/>
          <w:sz w:val="32"/>
          <w:szCs w:val="32"/>
          <w14:textFill>
            <w14:solidFill>
              <w14:schemeClr w14:val="tx1"/>
            </w14:solidFill>
          </w14:textFill>
        </w:rPr>
        <w:t>健全完善行政审批制度</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_Toc136873759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- 22 -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14"/>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"_Toc136873760" </w:instrText>
      </w:r>
      <w:r>
        <w:rPr>
          <w:color w:val="000000" w:themeColor="text1"/>
          <w14:textFill>
            <w14:solidFill>
              <w14:schemeClr w14:val="tx1"/>
            </w14:solidFill>
          </w14:textFill>
        </w:rPr>
        <w:fldChar w:fldCharType="separate"/>
      </w:r>
      <w:r>
        <w:rPr>
          <w:rStyle w:val="19"/>
          <w:rFonts w:hint="eastAsia" w:ascii="仿宋" w:hAnsi="仿宋" w:eastAsia="仿宋" w:cs="楷体_GB2312"/>
          <w:color w:val="000000" w:themeColor="text1"/>
          <w:sz w:val="32"/>
          <w:szCs w:val="32"/>
          <w14:textFill>
            <w14:solidFill>
              <w14:schemeClr w14:val="tx1"/>
            </w14:solidFill>
          </w14:textFill>
        </w:rPr>
        <w:t>（七）提高应急管理信息化水平</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_Toc136873760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- 22 -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"_Toc136873761"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1.</w:t>
      </w:r>
      <w:r>
        <w:rPr>
          <w:rStyle w:val="19"/>
          <w:rFonts w:hint="eastAsia" w:ascii="仿宋" w:hAnsi="仿宋" w:eastAsia="仿宋" w:cs="仿宋_GB2312"/>
          <w:color w:val="000000" w:themeColor="text1"/>
          <w:sz w:val="32"/>
          <w:szCs w:val="32"/>
          <w14:textFill>
            <w14:solidFill>
              <w14:schemeClr w14:val="tx1"/>
            </w14:solidFill>
          </w14:textFill>
        </w:rPr>
        <w:t>加快应急指挥平台建设</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_Toc136873761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- 22 -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"_Toc136873762"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2.</w:t>
      </w:r>
      <w:r>
        <w:rPr>
          <w:rStyle w:val="19"/>
          <w:rFonts w:hint="eastAsia" w:ascii="仿宋" w:hAnsi="仿宋" w:eastAsia="仿宋" w:cs="仿宋_GB2312"/>
          <w:color w:val="000000" w:themeColor="text1"/>
          <w:sz w:val="32"/>
          <w:szCs w:val="32"/>
          <w14:textFill>
            <w14:solidFill>
              <w14:schemeClr w14:val="tx1"/>
            </w14:solidFill>
          </w14:textFill>
        </w:rPr>
        <w:t>提升应急通讯保障能力</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_Toc136873762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- 23 -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14"/>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"_Toc136873763" </w:instrText>
      </w:r>
      <w:r>
        <w:rPr>
          <w:color w:val="000000" w:themeColor="text1"/>
          <w14:textFill>
            <w14:solidFill>
              <w14:schemeClr w14:val="tx1"/>
            </w14:solidFill>
          </w14:textFill>
        </w:rPr>
        <w:fldChar w:fldCharType="separate"/>
      </w:r>
      <w:r>
        <w:rPr>
          <w:rStyle w:val="19"/>
          <w:rFonts w:hint="eastAsia" w:ascii="仿宋" w:hAnsi="仿宋" w:eastAsia="仿宋" w:cs="楷体_GB2312"/>
          <w:color w:val="000000" w:themeColor="text1"/>
          <w:sz w:val="32"/>
          <w:szCs w:val="32"/>
          <w14:textFill>
            <w14:solidFill>
              <w14:schemeClr w14:val="tx1"/>
            </w14:solidFill>
          </w14:textFill>
        </w:rPr>
        <w:t>（八）提升应急管理群防群治水平</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_Toc136873763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- 24 -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"_Toc136873764"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1.</w:t>
      </w:r>
      <w:r>
        <w:rPr>
          <w:rStyle w:val="19"/>
          <w:rFonts w:hint="eastAsia" w:ascii="仿宋" w:hAnsi="仿宋" w:eastAsia="仿宋" w:cs="仿宋_GB2312"/>
          <w:color w:val="000000" w:themeColor="text1"/>
          <w:sz w:val="32"/>
          <w:szCs w:val="32"/>
          <w14:textFill>
            <w14:solidFill>
              <w14:schemeClr w14:val="tx1"/>
            </w14:solidFill>
          </w14:textFill>
        </w:rPr>
        <w:t>开展应急管理宣传与业务培训</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_Toc136873764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- 24 -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"_Toc136873765"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2.</w:t>
      </w:r>
      <w:r>
        <w:rPr>
          <w:rStyle w:val="19"/>
          <w:rFonts w:hint="eastAsia" w:ascii="仿宋" w:hAnsi="仿宋" w:eastAsia="仿宋" w:cs="仿宋_GB2312"/>
          <w:color w:val="000000" w:themeColor="text1"/>
          <w:sz w:val="32"/>
          <w:szCs w:val="32"/>
          <w14:textFill>
            <w14:solidFill>
              <w14:schemeClr w14:val="tx1"/>
            </w14:solidFill>
          </w14:textFill>
        </w:rPr>
        <w:t>加强基层应急管理能力建设</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_Toc136873765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- 25 -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"_Toc136873766"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3.</w:t>
      </w:r>
      <w:r>
        <w:rPr>
          <w:rStyle w:val="19"/>
          <w:rFonts w:hint="eastAsia" w:ascii="仿宋" w:hAnsi="仿宋" w:eastAsia="仿宋" w:cs="仿宋_GB2312"/>
          <w:color w:val="000000" w:themeColor="text1"/>
          <w:sz w:val="32"/>
          <w:szCs w:val="32"/>
          <w14:textFill>
            <w14:solidFill>
              <w14:schemeClr w14:val="tx1"/>
            </w14:solidFill>
          </w14:textFill>
        </w:rPr>
        <w:t>打造社会协同防范体系</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_Toc136873766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- 25 -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9"/>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"_Toc136873767" </w:instrText>
      </w:r>
      <w:r>
        <w:rPr>
          <w:color w:val="000000" w:themeColor="text1"/>
          <w14:textFill>
            <w14:solidFill>
              <w14:schemeClr w14:val="tx1"/>
            </w14:solidFill>
          </w14:textFill>
        </w:rPr>
        <w:fldChar w:fldCharType="separate"/>
      </w:r>
      <w:r>
        <w:rPr>
          <w:rStyle w:val="19"/>
          <w:rFonts w:ascii="仿宋" w:hAnsi="仿宋" w:eastAsia="仿宋" w:cs="仿宋_GB2312"/>
          <w:color w:val="000000" w:themeColor="text1"/>
          <w:sz w:val="32"/>
          <w:szCs w:val="32"/>
          <w14:textFill>
            <w14:solidFill>
              <w14:schemeClr w14:val="tx1"/>
            </w14:solidFill>
          </w14:textFill>
        </w:rPr>
        <w:t>4.</w:t>
      </w:r>
      <w:r>
        <w:rPr>
          <w:rStyle w:val="19"/>
          <w:rFonts w:hint="eastAsia" w:ascii="仿宋" w:hAnsi="仿宋" w:eastAsia="仿宋" w:cs="仿宋_GB2312"/>
          <w:color w:val="000000" w:themeColor="text1"/>
          <w:sz w:val="32"/>
          <w:szCs w:val="32"/>
          <w14:textFill>
            <w14:solidFill>
              <w14:schemeClr w14:val="tx1"/>
            </w14:solidFill>
          </w14:textFill>
        </w:rPr>
        <w:t>推动安全发展示范城市创建</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_Toc136873767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- 26 -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13"/>
        <w:tabs>
          <w:tab w:val="right" w:leader="dot" w:pos="8960"/>
        </w:tabs>
        <w:rPr>
          <w:rFonts w:ascii="仿宋" w:hAnsi="仿宋" w:eastAsia="仿宋" w:cstheme="minorBidi"/>
          <w:color w:val="000000" w:themeColor="text1"/>
          <w:kern w:val="2"/>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"_Toc136873768" </w:instrText>
      </w:r>
      <w:r>
        <w:rPr>
          <w:color w:val="000000" w:themeColor="text1"/>
          <w14:textFill>
            <w14:solidFill>
              <w14:schemeClr w14:val="tx1"/>
            </w14:solidFill>
          </w14:textFill>
        </w:rPr>
        <w:fldChar w:fldCharType="separate"/>
      </w:r>
      <w:r>
        <w:rPr>
          <w:rStyle w:val="19"/>
          <w:rFonts w:hint="eastAsia" w:ascii="仿宋" w:hAnsi="仿宋" w:eastAsia="仿宋"/>
          <w:color w:val="000000" w:themeColor="text1"/>
          <w:sz w:val="32"/>
          <w:szCs w:val="32"/>
          <w14:textFill>
            <w14:solidFill>
              <w14:schemeClr w14:val="tx1"/>
            </w14:solidFill>
          </w14:textFill>
        </w:rPr>
        <w:t>四、重点工程</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_Toc136873768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- 26 -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14"/>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"_Toc136873769" </w:instrText>
      </w:r>
      <w:r>
        <w:rPr>
          <w:color w:val="000000" w:themeColor="text1"/>
          <w14:textFill>
            <w14:solidFill>
              <w14:schemeClr w14:val="tx1"/>
            </w14:solidFill>
          </w14:textFill>
        </w:rPr>
        <w:fldChar w:fldCharType="separate"/>
      </w:r>
      <w:r>
        <w:rPr>
          <w:rStyle w:val="19"/>
          <w:rFonts w:hint="eastAsia" w:ascii="仿宋" w:hAnsi="仿宋" w:eastAsia="仿宋" w:cs="楷体_GB2312"/>
          <w:color w:val="000000" w:themeColor="text1"/>
          <w:sz w:val="32"/>
          <w:szCs w:val="32"/>
          <w14:textFill>
            <w14:solidFill>
              <w14:schemeClr w14:val="tx1"/>
            </w14:solidFill>
          </w14:textFill>
        </w:rPr>
        <w:t>（一）安全风险监测防控工程</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_Toc136873769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- 26 -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14"/>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"_Toc136873770" </w:instrText>
      </w:r>
      <w:r>
        <w:rPr>
          <w:color w:val="000000" w:themeColor="text1"/>
          <w14:textFill>
            <w14:solidFill>
              <w14:schemeClr w14:val="tx1"/>
            </w14:solidFill>
          </w14:textFill>
        </w:rPr>
        <w:fldChar w:fldCharType="separate"/>
      </w:r>
      <w:r>
        <w:rPr>
          <w:rStyle w:val="19"/>
          <w:rFonts w:hint="eastAsia" w:ascii="仿宋" w:hAnsi="仿宋" w:eastAsia="仿宋" w:cs="楷体_GB2312"/>
          <w:color w:val="000000" w:themeColor="text1"/>
          <w:sz w:val="32"/>
          <w:szCs w:val="32"/>
          <w14:textFill>
            <w14:solidFill>
              <w14:schemeClr w14:val="tx1"/>
            </w14:solidFill>
          </w14:textFill>
        </w:rPr>
        <w:t>（二）防灾减灾能力提升工程</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_Toc136873770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- 27 -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14"/>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"_Toc136873771" </w:instrText>
      </w:r>
      <w:r>
        <w:rPr>
          <w:color w:val="000000" w:themeColor="text1"/>
          <w14:textFill>
            <w14:solidFill>
              <w14:schemeClr w14:val="tx1"/>
            </w14:solidFill>
          </w14:textFill>
        </w:rPr>
        <w:fldChar w:fldCharType="separate"/>
      </w:r>
      <w:r>
        <w:rPr>
          <w:rStyle w:val="19"/>
          <w:rFonts w:hint="eastAsia" w:ascii="仿宋" w:hAnsi="仿宋" w:eastAsia="仿宋" w:cs="楷体_GB2312"/>
          <w:color w:val="000000" w:themeColor="text1"/>
          <w:sz w:val="32"/>
          <w:szCs w:val="32"/>
          <w14:textFill>
            <w14:solidFill>
              <w14:schemeClr w14:val="tx1"/>
            </w14:solidFill>
          </w14:textFill>
        </w:rPr>
        <w:t>（三）应急救援能力提升工程</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_Toc136873771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- 28 -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14"/>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"_Toc136873772" </w:instrText>
      </w:r>
      <w:r>
        <w:rPr>
          <w:color w:val="000000" w:themeColor="text1"/>
          <w14:textFill>
            <w14:solidFill>
              <w14:schemeClr w14:val="tx1"/>
            </w14:solidFill>
          </w14:textFill>
        </w:rPr>
        <w:fldChar w:fldCharType="separate"/>
      </w:r>
      <w:r>
        <w:rPr>
          <w:rStyle w:val="19"/>
          <w:rFonts w:hint="eastAsia" w:ascii="仿宋" w:hAnsi="仿宋" w:eastAsia="仿宋" w:cs="楷体_GB2312"/>
          <w:color w:val="000000" w:themeColor="text1"/>
          <w:sz w:val="32"/>
          <w:szCs w:val="32"/>
          <w14:textFill>
            <w14:solidFill>
              <w14:schemeClr w14:val="tx1"/>
            </w14:solidFill>
          </w14:textFill>
        </w:rPr>
        <w:t>（四）应急保障能力提升工程</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_Toc136873772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- 29 -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14"/>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"_Toc136873773" </w:instrText>
      </w:r>
      <w:r>
        <w:rPr>
          <w:color w:val="000000" w:themeColor="text1"/>
          <w14:textFill>
            <w14:solidFill>
              <w14:schemeClr w14:val="tx1"/>
            </w14:solidFill>
          </w14:textFill>
        </w:rPr>
        <w:fldChar w:fldCharType="separate"/>
      </w:r>
      <w:r>
        <w:rPr>
          <w:rStyle w:val="19"/>
          <w:rFonts w:hint="eastAsia" w:ascii="仿宋" w:hAnsi="仿宋" w:eastAsia="仿宋" w:cs="楷体_GB2312"/>
          <w:color w:val="000000" w:themeColor="text1"/>
          <w:sz w:val="32"/>
          <w:szCs w:val="32"/>
          <w14:textFill>
            <w14:solidFill>
              <w14:schemeClr w14:val="tx1"/>
            </w14:solidFill>
          </w14:textFill>
        </w:rPr>
        <w:t>（五）应急管理信息化建设工程</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_Toc136873773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- 29 -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13"/>
        <w:tabs>
          <w:tab w:val="right" w:leader="dot" w:pos="8960"/>
        </w:tabs>
        <w:rPr>
          <w:rFonts w:ascii="仿宋" w:hAnsi="仿宋" w:eastAsia="仿宋" w:cstheme="minorBidi"/>
          <w:color w:val="000000" w:themeColor="text1"/>
          <w:kern w:val="2"/>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"_Toc136873774" </w:instrText>
      </w:r>
      <w:r>
        <w:rPr>
          <w:color w:val="000000" w:themeColor="text1"/>
          <w14:textFill>
            <w14:solidFill>
              <w14:schemeClr w14:val="tx1"/>
            </w14:solidFill>
          </w14:textFill>
        </w:rPr>
        <w:fldChar w:fldCharType="separate"/>
      </w:r>
      <w:r>
        <w:rPr>
          <w:rStyle w:val="19"/>
          <w:rFonts w:hint="eastAsia" w:ascii="仿宋" w:hAnsi="仿宋" w:eastAsia="仿宋"/>
          <w:color w:val="000000" w:themeColor="text1"/>
          <w:sz w:val="32"/>
          <w:szCs w:val="32"/>
          <w14:textFill>
            <w14:solidFill>
              <w14:schemeClr w14:val="tx1"/>
            </w14:solidFill>
          </w14:textFill>
        </w:rPr>
        <w:t>五、实施保障</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_Toc136873774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- 31 -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14"/>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"_Toc136873775" </w:instrText>
      </w:r>
      <w:r>
        <w:rPr>
          <w:color w:val="000000" w:themeColor="text1"/>
          <w14:textFill>
            <w14:solidFill>
              <w14:schemeClr w14:val="tx1"/>
            </w14:solidFill>
          </w14:textFill>
        </w:rPr>
        <w:fldChar w:fldCharType="separate"/>
      </w:r>
      <w:r>
        <w:rPr>
          <w:rStyle w:val="19"/>
          <w:rFonts w:ascii="仿宋" w:hAnsi="仿宋" w:eastAsia="仿宋" w:cs="楷体_GB2312"/>
          <w:color w:val="000000" w:themeColor="text1"/>
          <w:sz w:val="32"/>
          <w:szCs w:val="32"/>
          <w14:textFill>
            <w14:solidFill>
              <w14:schemeClr w14:val="tx1"/>
            </w14:solidFill>
          </w14:textFill>
        </w:rPr>
        <w:t>(</w:t>
      </w:r>
      <w:r>
        <w:rPr>
          <w:rStyle w:val="19"/>
          <w:rFonts w:hint="eastAsia" w:ascii="仿宋" w:hAnsi="仿宋" w:eastAsia="仿宋" w:cs="楷体_GB2312"/>
          <w:color w:val="000000" w:themeColor="text1"/>
          <w:sz w:val="32"/>
          <w:szCs w:val="32"/>
          <w14:textFill>
            <w14:solidFill>
              <w14:schemeClr w14:val="tx1"/>
            </w14:solidFill>
          </w14:textFill>
        </w:rPr>
        <w:t>一</w:t>
      </w:r>
      <w:r>
        <w:rPr>
          <w:rStyle w:val="19"/>
          <w:rFonts w:ascii="仿宋" w:hAnsi="仿宋" w:eastAsia="仿宋" w:cs="楷体_GB2312"/>
          <w:color w:val="000000" w:themeColor="text1"/>
          <w:sz w:val="32"/>
          <w:szCs w:val="32"/>
          <w14:textFill>
            <w14:solidFill>
              <w14:schemeClr w14:val="tx1"/>
            </w14:solidFill>
          </w14:textFill>
        </w:rPr>
        <w:t>)</w:t>
      </w:r>
      <w:r>
        <w:rPr>
          <w:rStyle w:val="19"/>
          <w:rFonts w:hint="eastAsia" w:ascii="仿宋" w:hAnsi="仿宋" w:eastAsia="仿宋" w:cs="楷体_GB2312"/>
          <w:color w:val="000000" w:themeColor="text1"/>
          <w:sz w:val="32"/>
          <w:szCs w:val="32"/>
          <w14:textFill>
            <w14:solidFill>
              <w14:schemeClr w14:val="tx1"/>
            </w14:solidFill>
          </w14:textFill>
        </w:rPr>
        <w:t>加强组织领导，统筹协调推进</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_Toc136873775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- 31 -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14"/>
        <w:tabs>
          <w:tab w:val="right" w:leader="dot" w:pos="8960"/>
        </w:tabs>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"_Toc136873776" </w:instrText>
      </w:r>
      <w:r>
        <w:rPr>
          <w:color w:val="000000" w:themeColor="text1"/>
          <w14:textFill>
            <w14:solidFill>
              <w14:schemeClr w14:val="tx1"/>
            </w14:solidFill>
          </w14:textFill>
        </w:rPr>
        <w:fldChar w:fldCharType="separate"/>
      </w:r>
      <w:r>
        <w:rPr>
          <w:rStyle w:val="19"/>
          <w:rFonts w:ascii="仿宋" w:hAnsi="仿宋" w:eastAsia="仿宋" w:cs="楷体_GB2312"/>
          <w:color w:val="000000" w:themeColor="text1"/>
          <w:sz w:val="32"/>
          <w:szCs w:val="32"/>
          <w14:textFill>
            <w14:solidFill>
              <w14:schemeClr w14:val="tx1"/>
            </w14:solidFill>
          </w14:textFill>
        </w:rPr>
        <w:t>(</w:t>
      </w:r>
      <w:r>
        <w:rPr>
          <w:rStyle w:val="19"/>
          <w:rFonts w:hint="eastAsia" w:ascii="仿宋" w:hAnsi="仿宋" w:eastAsia="仿宋" w:cs="楷体_GB2312"/>
          <w:color w:val="000000" w:themeColor="text1"/>
          <w:sz w:val="32"/>
          <w:szCs w:val="32"/>
          <w14:textFill>
            <w14:solidFill>
              <w14:schemeClr w14:val="tx1"/>
            </w14:solidFill>
          </w14:textFill>
        </w:rPr>
        <w:t>二</w:t>
      </w:r>
      <w:r>
        <w:rPr>
          <w:rStyle w:val="19"/>
          <w:rFonts w:ascii="仿宋" w:hAnsi="仿宋" w:eastAsia="仿宋" w:cs="楷体_GB2312"/>
          <w:color w:val="000000" w:themeColor="text1"/>
          <w:sz w:val="32"/>
          <w:szCs w:val="32"/>
          <w14:textFill>
            <w14:solidFill>
              <w14:schemeClr w14:val="tx1"/>
            </w14:solidFill>
          </w14:textFill>
        </w:rPr>
        <w:t>)</w:t>
      </w:r>
      <w:r>
        <w:rPr>
          <w:rStyle w:val="19"/>
          <w:rFonts w:hint="eastAsia" w:ascii="仿宋" w:hAnsi="仿宋" w:eastAsia="仿宋" w:cs="楷体_GB2312"/>
          <w:color w:val="000000" w:themeColor="text1"/>
          <w:sz w:val="32"/>
          <w:szCs w:val="32"/>
          <w14:textFill>
            <w14:solidFill>
              <w14:schemeClr w14:val="tx1"/>
            </w14:solidFill>
          </w14:textFill>
        </w:rPr>
        <w:t>加大投入力度，提供有力保障</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_Toc136873776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- 31 -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pStyle w:val="14"/>
        <w:tabs>
          <w:tab w:val="right" w:leader="dot" w:pos="8960"/>
        </w:tabs>
        <w:rPr>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"_Toc136873777" </w:instrText>
      </w:r>
      <w:r>
        <w:rPr>
          <w:color w:val="000000" w:themeColor="text1"/>
          <w14:textFill>
            <w14:solidFill>
              <w14:schemeClr w14:val="tx1"/>
            </w14:solidFill>
          </w14:textFill>
        </w:rPr>
        <w:fldChar w:fldCharType="separate"/>
      </w:r>
      <w:r>
        <w:rPr>
          <w:rStyle w:val="19"/>
          <w:rFonts w:ascii="仿宋" w:hAnsi="仿宋" w:eastAsia="仿宋" w:cs="楷体_GB2312"/>
          <w:color w:val="000000" w:themeColor="text1"/>
          <w:sz w:val="32"/>
          <w:szCs w:val="32"/>
          <w14:textFill>
            <w14:solidFill>
              <w14:schemeClr w14:val="tx1"/>
            </w14:solidFill>
          </w14:textFill>
        </w:rPr>
        <w:t>(</w:t>
      </w:r>
      <w:r>
        <w:rPr>
          <w:rStyle w:val="19"/>
          <w:rFonts w:hint="eastAsia" w:ascii="仿宋" w:hAnsi="仿宋" w:eastAsia="仿宋" w:cs="楷体_GB2312"/>
          <w:color w:val="000000" w:themeColor="text1"/>
          <w:sz w:val="32"/>
          <w:szCs w:val="32"/>
          <w14:textFill>
            <w14:solidFill>
              <w14:schemeClr w14:val="tx1"/>
            </w14:solidFill>
          </w14:textFill>
        </w:rPr>
        <w:t>三</w:t>
      </w:r>
      <w:r>
        <w:rPr>
          <w:rStyle w:val="19"/>
          <w:rFonts w:ascii="仿宋" w:hAnsi="仿宋" w:eastAsia="仿宋" w:cs="楷体_GB2312"/>
          <w:color w:val="000000" w:themeColor="text1"/>
          <w:sz w:val="32"/>
          <w:szCs w:val="32"/>
          <w14:textFill>
            <w14:solidFill>
              <w14:schemeClr w14:val="tx1"/>
            </w14:solidFill>
          </w14:textFill>
        </w:rPr>
        <w:t>)</w:t>
      </w:r>
      <w:r>
        <w:rPr>
          <w:rStyle w:val="19"/>
          <w:rFonts w:hint="eastAsia" w:ascii="仿宋" w:hAnsi="仿宋" w:eastAsia="仿宋" w:cs="楷体_GB2312"/>
          <w:color w:val="000000" w:themeColor="text1"/>
          <w:sz w:val="32"/>
          <w:szCs w:val="32"/>
          <w14:textFill>
            <w14:solidFill>
              <w14:schemeClr w14:val="tx1"/>
            </w14:solidFill>
          </w14:textFill>
        </w:rPr>
        <w:t>强化检查评估，确保进度质量</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PAGEREF _Toc136873777 \h </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- 31 -</w:t>
      </w:r>
      <w:r>
        <w:rPr>
          <w:rFonts w:ascii="仿宋" w:hAnsi="仿宋" w:eastAsia="仿宋"/>
          <w:color w:val="000000" w:themeColor="text1"/>
          <w:sz w:val="32"/>
          <w:szCs w:val="32"/>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end"/>
      </w:r>
    </w:p>
    <w:p>
      <w:pPr>
        <w:jc w:val="center"/>
        <w:rPr>
          <w:rFonts w:ascii="仿宋_GB2312" w:hAnsi="仿宋_GB2312" w:eastAsia="仿宋_GB2312" w:cs="仿宋_GB2312"/>
          <w:color w:val="000000" w:themeColor="text1"/>
          <w:sz w:val="32"/>
          <w:szCs w:val="32"/>
          <w14:textFill>
            <w14:solidFill>
              <w14:schemeClr w14:val="tx1"/>
            </w14:solidFill>
          </w14:textFill>
        </w:rPr>
      </w:pPr>
      <w:r>
        <w:rPr>
          <w:rFonts w:ascii="仿宋" w:hAnsi="仿宋" w:eastAsia="仿宋" w:cs="方正小标宋简体"/>
          <w:color w:val="000000" w:themeColor="text1"/>
          <w:sz w:val="30"/>
          <w:szCs w:val="30"/>
          <w14:textFill>
            <w14:solidFill>
              <w14:schemeClr w14:val="tx1"/>
            </w14:solidFill>
          </w14:textFill>
        </w:rPr>
        <w:fldChar w:fldCharType="end"/>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ascii="仿宋_GB2312" w:hAnsi="仿宋_GB2312" w:eastAsia="仿宋_GB2312" w:cs="仿宋_GB2312"/>
          <w:color w:val="000000" w:themeColor="text1"/>
          <w:sz w:val="32"/>
          <w:szCs w:val="32"/>
          <w14:textFill>
            <w14:solidFill>
              <w14:schemeClr w14:val="tx1"/>
            </w14:solidFill>
          </w14:textFill>
        </w:rPr>
        <w:sectPr>
          <w:footerReference r:id="rId3" w:type="default"/>
          <w:pgSz w:w="11906" w:h="16838"/>
          <w:pgMar w:top="2041" w:right="1468" w:bottom="1587" w:left="1468" w:header="851" w:footer="992" w:gutter="0"/>
          <w:pgNumType w:fmt="numberInDash" w:start="1"/>
          <w:cols w:space="425" w:num="1"/>
          <w:docGrid w:type="lines" w:linePitch="312" w:charSpace="0"/>
        </w:sectPr>
      </w:pP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急管理是国家治理体系和治理能力的重要组成部分，承担着防范化解重大安全风险、及时应对处置各类灾害事故的重要职责，担负保护人民群众生命财产安全和维护社会稳定的重要使命。为贯彻落实党中央、国务院，省委、省政府，市委、市政府，县委、县政府关于应急管理工作的决策部署，加快推进应急管理体系和能力现代化，根据《中华人民共和国安全生产法》《中华人民共和国突发事件应对法》《四川省“十四五”应急体系规划》《乐山市“十四五”应急体系规划》《井研县国民经济和社会发展第十四个五年规划和二〇三五年远景目标纲要》《井研县突发事件总体应急预案》等相关法律法规和政策文件，结合乡镇级片区应急体系专项规划，制定本规划。本规划主要涉及自然灾害、事故灾难等两大类突发事件的防范应对。</w:t>
      </w:r>
    </w:p>
    <w:p>
      <w:pPr>
        <w:pStyle w:val="3"/>
        <w:rPr>
          <w:color w:val="000000" w:themeColor="text1"/>
          <w:sz w:val="32"/>
          <w:szCs w:val="32"/>
          <w14:textFill>
            <w14:solidFill>
              <w14:schemeClr w14:val="tx1"/>
            </w14:solidFill>
          </w14:textFill>
        </w:rPr>
      </w:pPr>
      <w:bookmarkStart w:id="0" w:name="_Toc136873704"/>
      <w:r>
        <w:rPr>
          <w:rFonts w:hint="eastAsia"/>
          <w:color w:val="000000" w:themeColor="text1"/>
          <w:sz w:val="32"/>
          <w:szCs w:val="32"/>
          <w14:textFill>
            <w14:solidFill>
              <w14:schemeClr w14:val="tx1"/>
            </w14:solidFill>
          </w14:textFill>
        </w:rPr>
        <w:t>一、规划背景</w:t>
      </w:r>
      <w:bookmarkEnd w:id="0"/>
    </w:p>
    <w:p>
      <w:pPr>
        <w:pStyle w:val="4"/>
        <w:ind w:firstLine="640"/>
        <w:rPr>
          <w:rFonts w:hAnsi="楷体_GB2312" w:cs="楷体_GB2312"/>
          <w:b w:val="0"/>
          <w:bCs w:val="0"/>
          <w:color w:val="000000" w:themeColor="text1"/>
          <w:sz w:val="32"/>
          <w14:textFill>
            <w14:solidFill>
              <w14:schemeClr w14:val="tx1"/>
            </w14:solidFill>
          </w14:textFill>
        </w:rPr>
      </w:pPr>
      <w:bookmarkStart w:id="1" w:name="_Toc136873705"/>
      <w:r>
        <w:rPr>
          <w:rFonts w:hint="eastAsia" w:hAnsi="楷体_GB2312" w:cs="楷体_GB2312"/>
          <w:b w:val="0"/>
          <w:bCs w:val="0"/>
          <w:color w:val="000000" w:themeColor="text1"/>
          <w:sz w:val="32"/>
          <w14:textFill>
            <w14:solidFill>
              <w14:schemeClr w14:val="tx1"/>
            </w14:solidFill>
          </w14:textFill>
        </w:rPr>
        <w:t>（一）主要成效</w:t>
      </w:r>
      <w:bookmarkEnd w:id="1"/>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三五”期间，全县以习近平新时代中国特色社会主义思想为指导，牢固树立安全发展理念，强化责任落实，扎实推进安全生产、防灾减灾救灾和应急救援体系建设，各项工作取得显著进展和成效，为县域经济高质量发展营造了安全稳定的社会环境。</w:t>
      </w:r>
    </w:p>
    <w:p>
      <w:pPr>
        <w:pStyle w:val="5"/>
        <w:spacing w:before="20" w:after="20" w:line="240" w:lineRule="auto"/>
        <w:ind w:firstLine="640" w:firstLineChars="200"/>
        <w:rPr>
          <w:rFonts w:ascii="仿宋_GB2312" w:hAnsi="仿宋_GB2312" w:eastAsia="仿宋_GB2312" w:cs="仿宋_GB2312"/>
          <w:color w:val="000000" w:themeColor="text1"/>
          <w:sz w:val="32"/>
          <w14:textFill>
            <w14:solidFill>
              <w14:schemeClr w14:val="tx1"/>
            </w14:solidFill>
          </w14:textFill>
        </w:rPr>
      </w:pPr>
      <w:bookmarkStart w:id="2" w:name="_Toc136873706"/>
      <w:r>
        <w:rPr>
          <w:rFonts w:hint="eastAsia" w:ascii="仿宋_GB2312" w:hAnsi="仿宋_GB2312" w:eastAsia="仿宋_GB2312" w:cs="仿宋_GB2312"/>
          <w:b w:val="0"/>
          <w:bCs w:val="0"/>
          <w:color w:val="000000" w:themeColor="text1"/>
          <w:sz w:val="32"/>
          <w14:textFill>
            <w14:solidFill>
              <w14:schemeClr w14:val="tx1"/>
            </w14:solidFill>
          </w14:textFill>
        </w:rPr>
        <w:t>1.体制机制改革有序推进</w:t>
      </w:r>
      <w:bookmarkEnd w:id="2"/>
    </w:p>
    <w:p>
      <w:pPr>
        <w:spacing w:line="55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2019年，根据机构改革方案，</w:t>
      </w:r>
      <w:r>
        <w:rPr>
          <w:rFonts w:ascii="仿宋_GB2312" w:hAnsi="仿宋_GB2312" w:eastAsia="仿宋_GB2312" w:cs="仿宋_GB2312"/>
          <w:color w:val="000000" w:themeColor="text1"/>
          <w:sz w:val="32"/>
          <w:szCs w:val="32"/>
          <w14:textFill>
            <w14:solidFill>
              <w14:schemeClr w14:val="tx1"/>
            </w14:solidFill>
          </w14:textFill>
        </w:rPr>
        <w:t>将县安全生产监督管理局的职责，以及县政府办公室的应急管理职责，县公安局的消防管理职责，县民政局的救灾职责，相关机构的地质灾害防治、水旱灾害防治、森林防火、震灾应急救援等职责，防汛抗旱、减灾、抗震救灾、森林防火等指挥部（领导小组）的职责，以及县住房和城乡规划建设局的防震减灾职责等整合，组建县应急管理局</w:t>
      </w:r>
      <w:r>
        <w:rPr>
          <w:rFonts w:hint="eastAsia" w:ascii="仿宋_GB2312" w:hAnsi="仿宋_GB2312" w:eastAsia="仿宋_GB2312" w:cs="仿宋_GB2312"/>
          <w:color w:val="000000" w:themeColor="text1"/>
          <w:sz w:val="32"/>
          <w:szCs w:val="32"/>
          <w14:textFill>
            <w14:solidFill>
              <w14:schemeClr w14:val="tx1"/>
            </w14:solidFill>
          </w14:textFill>
        </w:rPr>
        <w:t>。调整完善井研县应急委员会（下设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个专项指挥部）、安全生产委员会、减灾委员会，完善各机构职责和运行机制。初步建立起统一领导、高效协同的应急组织体制和指挥机制。健全完善应急抢险救援机制，深入推动县镇（街道）联动、区域联动、部门协同、军地协同，优化资源力量配置，初步形成了信息互通、资源共享、力量互援、多方互动的抢险救援新格局。</w:t>
      </w:r>
    </w:p>
    <w:p>
      <w:pPr>
        <w:pStyle w:val="5"/>
        <w:spacing w:before="20" w:after="20" w:line="240" w:lineRule="auto"/>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3" w:name="_Toc136873707"/>
      <w:r>
        <w:rPr>
          <w:rFonts w:hint="eastAsia" w:ascii="仿宋_GB2312" w:hAnsi="仿宋_GB2312" w:eastAsia="仿宋_GB2312" w:cs="仿宋_GB2312"/>
          <w:b w:val="0"/>
          <w:bCs w:val="0"/>
          <w:color w:val="000000" w:themeColor="text1"/>
          <w:sz w:val="32"/>
          <w14:textFill>
            <w14:solidFill>
              <w14:schemeClr w14:val="tx1"/>
            </w14:solidFill>
          </w14:textFill>
        </w:rPr>
        <w:t>2.应急救援能力不断提升</w:t>
      </w:r>
      <w:bookmarkEnd w:id="3"/>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三五”期间，建立了全县救援物资储备机制，全县共储备各类物资装备7万余件（套），与金都徽连锁有限公司签订了救灾物资代储协议，在全县15个镇（街道）代储粮油、干粮、水等生活必需品，并录入了应急物资管理平台和“1+3+N”系统。利用学校、广场、市场等场地科学规划建设应急避难场所50个约30.21万平方米，能容纳20.14万人避险避灾，所有应急避难场所均完善了避难场所内部设施、标识标牌等，确保场所实用性和规范化，总体能应对较大自然灾害救灾所需。</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扎实推进应急救援能力提升“三年行动计划”，在马踏镇、周坡镇建设2个中心消防救援站，构建“一主两辅”基层应急救援体系。成立15支镇（街道）应急救援队、119支村（社区）应急分队，主要协助和参与日常巡查监测、风险隐患排查、预警信息传递、灾情先期处置、开展自救互救、人员避险转移、统计上报灾情、灾情善后处置等工作，提升基层应急能力，筑牢群众防线。初步形成了以综合性消防救援队伍为主力、专业救援队伍为协同、军队和武警部队为突击、社会力量为辅助的应急救援力量体系。</w:t>
      </w:r>
      <w:bookmarkStart w:id="4" w:name="_Toc76721756"/>
      <w:bookmarkStart w:id="5" w:name="_Toc69464522"/>
    </w:p>
    <w:p>
      <w:pPr>
        <w:pStyle w:val="2"/>
        <w:ind w:left="0" w:leftChars="0"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基层应急领导机构、办事机构和工作机构；编制突发事件处置预案（方案），完善基层应急预案体系建设；组建应急救援队伍，抓好基层应急队伍建设；配齐配强救援装备，做好基层应急保障设施建设；扎实开展培训演练。强化突发事件的防范和预警，完善基层灾情收集信息网络，建立基层应急联络员制度，规范信息报送和应急值守工作，准确高效报送信息。</w:t>
      </w:r>
    </w:p>
    <w:p>
      <w:pPr>
        <w:pStyle w:val="5"/>
        <w:spacing w:before="20" w:after="20" w:line="240" w:lineRule="auto"/>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6" w:name="_Toc136873708"/>
      <w:r>
        <w:rPr>
          <w:rFonts w:hint="eastAsia" w:ascii="仿宋_GB2312" w:hAnsi="仿宋_GB2312" w:eastAsia="仿宋_GB2312" w:cs="仿宋_GB2312"/>
          <w:b w:val="0"/>
          <w:bCs w:val="0"/>
          <w:color w:val="000000" w:themeColor="text1"/>
          <w:sz w:val="32"/>
          <w14:textFill>
            <w14:solidFill>
              <w14:schemeClr w14:val="tx1"/>
            </w14:solidFill>
          </w14:textFill>
        </w:rPr>
        <w:t>3.安全生产形势稳定向好</w:t>
      </w:r>
      <w:bookmarkEnd w:id="4"/>
      <w:bookmarkEnd w:id="5"/>
      <w:bookmarkEnd w:id="6"/>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党政同责、一岗双责、齐抓共管、失职追责”和“三管三必须”的安全生产责任制要求，全县各部门扎实开展安全生产工作，安全生产形势持续保持稳定。作为全市生产经营企业开展清单制管理的试点县，井研县认真贯彻落实省、市关于企业安全生产清单制管理工作的相关要求，</w:t>
      </w:r>
      <w:bookmarkStart w:id="7" w:name="_Hlk75641698"/>
      <w:r>
        <w:rPr>
          <w:rFonts w:hint="eastAsia" w:ascii="仿宋_GB2312" w:hAnsi="仿宋_GB2312" w:eastAsia="仿宋_GB2312" w:cs="仿宋_GB2312"/>
          <w:color w:val="000000" w:themeColor="text1"/>
          <w:sz w:val="32"/>
          <w:szCs w:val="32"/>
          <w14:textFill>
            <w14:solidFill>
              <w14:schemeClr w14:val="tx1"/>
            </w14:solidFill>
          </w14:textFill>
        </w:rPr>
        <w:t>着力完善全县安全生产清单制管理责任体系建设</w:t>
      </w:r>
      <w:bookmarkEnd w:id="7"/>
      <w:r>
        <w:rPr>
          <w:rFonts w:hint="eastAsia" w:ascii="仿宋_GB2312" w:hAnsi="仿宋_GB2312" w:eastAsia="仿宋_GB2312" w:cs="仿宋_GB2312"/>
          <w:color w:val="000000" w:themeColor="text1"/>
          <w:sz w:val="32"/>
          <w:szCs w:val="32"/>
          <w14:textFill>
            <w14:solidFill>
              <w14:schemeClr w14:val="tx1"/>
            </w14:solidFill>
          </w14:textFill>
        </w:rPr>
        <w:t>，安全生产“四大责任”体系进一步健全。建立健全安全风险分级管控和隐患排查治理双重预防工作机制，常态化防范化解安全生产重大风险，事故风险得到有效管控。扎实开展重点行业领域安全生产集中整治、安全生产专项整治三年行动、“排险除患”集中整治。狠抓执法机构队伍和能力建设，持续开展重点行业领域专项执法行动，安全生产警示和震慑作用进一步彰显。</w:t>
      </w:r>
      <w:bookmarkStart w:id="8" w:name="_Toc76721757"/>
      <w:bookmarkStart w:id="9" w:name="_Toc69464523"/>
    </w:p>
    <w:p>
      <w:pPr>
        <w:pStyle w:val="5"/>
        <w:spacing w:before="20" w:after="20" w:line="240" w:lineRule="auto"/>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10" w:name="_Toc136873709"/>
      <w:r>
        <w:rPr>
          <w:rFonts w:hint="eastAsia" w:ascii="仿宋_GB2312" w:hAnsi="仿宋_GB2312" w:eastAsia="仿宋_GB2312" w:cs="仿宋_GB2312"/>
          <w:b w:val="0"/>
          <w:bCs w:val="0"/>
          <w:color w:val="000000" w:themeColor="text1"/>
          <w:sz w:val="32"/>
          <w14:textFill>
            <w14:solidFill>
              <w14:schemeClr w14:val="tx1"/>
            </w14:solidFill>
          </w14:textFill>
        </w:rPr>
        <w:t>4.防灾减灾救灾取得显著成效</w:t>
      </w:r>
      <w:bookmarkEnd w:id="8"/>
      <w:bookmarkEnd w:id="9"/>
      <w:bookmarkEnd w:id="10"/>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洪涝灾害、地质灾害、地震灾害等风险防范。应急管理部门牵头抓总，各部门配合，做好会商研判、隐患排查治理、监测预警、物资储备、应急保障等工作，防灾减灾救灾能力得到大幅提升。全面完成各类防灾减灾任务。完善群测群防体系，实施了工程治理、避险搬迁、自动化实时监测隐患等措施。建成精细化要素预报系统，灾害天气监测预警得到加强。积极开展形式多样的防灾减灾宣传和“五进”活动，提升全民防灾减灾意识，群防群治的工作格局基本形成。</w:t>
      </w:r>
    </w:p>
    <w:p>
      <w:pPr>
        <w:pStyle w:val="4"/>
        <w:ind w:firstLine="640"/>
        <w:rPr>
          <w:rFonts w:hAnsi="楷体_GB2312" w:cs="楷体_GB2312"/>
          <w:color w:val="000000" w:themeColor="text1"/>
          <w:sz w:val="32"/>
          <w14:textFill>
            <w14:solidFill>
              <w14:schemeClr w14:val="tx1"/>
            </w14:solidFill>
          </w14:textFill>
        </w:rPr>
      </w:pPr>
      <w:bookmarkStart w:id="11" w:name="_Toc136873710"/>
      <w:r>
        <w:rPr>
          <w:rFonts w:hint="eastAsia" w:hAnsi="楷体_GB2312" w:cs="楷体_GB2312"/>
          <w:b w:val="0"/>
          <w:bCs w:val="0"/>
          <w:color w:val="000000" w:themeColor="text1"/>
          <w:sz w:val="32"/>
          <w14:textFill>
            <w14:solidFill>
              <w14:schemeClr w14:val="tx1"/>
            </w14:solidFill>
          </w14:textFill>
        </w:rPr>
        <w:t>（二）面临挑战</w:t>
      </w:r>
      <w:bookmarkEnd w:id="11"/>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五”期间，井研县国民经济和社会发展进入高质量发展阶段，各类事故隐患和安全风险交织叠加，应急体系建设面临诸多挑战，综合防灾减灾、安全生产、应急救援等方面还有较多亟需解决的问题和短板，主要表现在以下六个方面。</w:t>
      </w:r>
    </w:p>
    <w:p>
      <w:pPr>
        <w:pStyle w:val="5"/>
        <w:spacing w:before="20" w:after="20" w:line="240" w:lineRule="auto"/>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12" w:name="_Toc136873711"/>
      <w:r>
        <w:rPr>
          <w:rFonts w:hint="eastAsia" w:ascii="仿宋_GB2312" w:hAnsi="仿宋_GB2312" w:eastAsia="仿宋_GB2312" w:cs="仿宋_GB2312"/>
          <w:b w:val="0"/>
          <w:bCs w:val="0"/>
          <w:color w:val="000000" w:themeColor="text1"/>
          <w:sz w:val="32"/>
          <w14:textFill>
            <w14:solidFill>
              <w14:schemeClr w14:val="tx1"/>
            </w14:solidFill>
          </w14:textFill>
        </w:rPr>
        <w:t>1.自然灾害环境复杂多变</w:t>
      </w:r>
      <w:bookmarkEnd w:id="12"/>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井研县地形地貌多样、地质条件复杂，部分区域为地震高裂度区、地质条件脆弱区和森林覆盖面积较大（森林火灾低火险区），洪涝、地质、地震等类型灾害发生风险高，各类自然灾害及衍生次生灾害事故呈现诱因多样化、类型复合化，防御工程基础薄弱，自然灾害综合风险调查、监测和防控任务重、难度大。</w:t>
      </w:r>
    </w:p>
    <w:p>
      <w:pPr>
        <w:pStyle w:val="5"/>
        <w:spacing w:before="20" w:after="20" w:line="240" w:lineRule="auto"/>
        <w:ind w:firstLine="640" w:firstLineChars="200"/>
        <w:rPr>
          <w:rFonts w:ascii="仿宋_GB2312" w:hAnsi="仿宋_GB2312" w:eastAsia="仿宋_GB2312" w:cs="仿宋_GB2312"/>
          <w:color w:val="000000" w:themeColor="text1"/>
          <w:sz w:val="32"/>
          <w14:textFill>
            <w14:solidFill>
              <w14:schemeClr w14:val="tx1"/>
            </w14:solidFill>
          </w14:textFill>
        </w:rPr>
      </w:pPr>
      <w:bookmarkStart w:id="13" w:name="_Toc136873712"/>
      <w:r>
        <w:rPr>
          <w:rFonts w:hint="eastAsia" w:ascii="仿宋_GB2312" w:hAnsi="仿宋_GB2312" w:eastAsia="仿宋_GB2312" w:cs="仿宋_GB2312"/>
          <w:b w:val="0"/>
          <w:bCs w:val="0"/>
          <w:color w:val="000000" w:themeColor="text1"/>
          <w:sz w:val="32"/>
          <w14:textFill>
            <w14:solidFill>
              <w14:schemeClr w14:val="tx1"/>
            </w14:solidFill>
          </w14:textFill>
        </w:rPr>
        <w:t>2.安全生产形势依然严峻</w:t>
      </w:r>
      <w:bookmarkEnd w:id="13"/>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县安全生产仍处于爬坡过坎期，道路交通、建筑施工、工贸企业等重点行业领域事故易发多发。安全发展理念不牢固、企业主体责任落实不到位、风险隐患排查治理不精准、安全监管力量不足等问题依然存在。传统安全风险与新产业、新业态带来的新风险交织叠加，安全风险隐蔽性、突发性、耦合性更加突出。</w:t>
      </w:r>
    </w:p>
    <w:p>
      <w:pPr>
        <w:pStyle w:val="5"/>
        <w:spacing w:before="20" w:after="20" w:line="240" w:lineRule="auto"/>
        <w:ind w:firstLine="640" w:firstLineChars="200"/>
        <w:rPr>
          <w:rFonts w:ascii="仿宋_GB2312" w:hAnsi="仿宋_GB2312" w:eastAsia="仿宋_GB2312" w:cs="仿宋_GB2312"/>
          <w:color w:val="000000" w:themeColor="text1"/>
          <w:sz w:val="32"/>
          <w14:textFill>
            <w14:solidFill>
              <w14:schemeClr w14:val="tx1"/>
            </w14:solidFill>
          </w14:textFill>
        </w:rPr>
      </w:pPr>
      <w:bookmarkStart w:id="14" w:name="_Toc136873713"/>
      <w:r>
        <w:rPr>
          <w:rFonts w:hint="eastAsia" w:ascii="仿宋_GB2312" w:hAnsi="仿宋_GB2312" w:eastAsia="仿宋_GB2312" w:cs="仿宋_GB2312"/>
          <w:b w:val="0"/>
          <w:bCs w:val="0"/>
          <w:color w:val="000000" w:themeColor="text1"/>
          <w:sz w:val="32"/>
          <w14:textFill>
            <w14:solidFill>
              <w14:schemeClr w14:val="tx1"/>
            </w14:solidFill>
          </w14:textFill>
        </w:rPr>
        <w:t>3.体制机制改革仍需深化</w:t>
      </w:r>
      <w:bookmarkEnd w:id="14"/>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机构改革后，应急管理的职能职责尚未完全厘清，存在统分尺度失衡、防救职责不清等问题。存在应急管理部门和相关行业部门之间联动不足、职能交叉、主体责任不明确等问题，平时预防工作难以协同开展。安办、应急办、减灾办、森防办、防汛办的统筹协调能力需进一步加强，各专项指挥部“防、抗、救”职能还未充分发挥。</w:t>
      </w:r>
    </w:p>
    <w:p>
      <w:pPr>
        <w:pStyle w:val="5"/>
        <w:spacing w:before="20" w:after="20" w:line="240" w:lineRule="auto"/>
        <w:ind w:firstLine="640" w:firstLineChars="200"/>
        <w:rPr>
          <w:rFonts w:ascii="仿宋_GB2312" w:hAnsi="仿宋_GB2312" w:eastAsia="仿宋_GB2312" w:cs="仿宋_GB2312"/>
          <w:color w:val="000000" w:themeColor="text1"/>
          <w:sz w:val="32"/>
          <w14:textFill>
            <w14:solidFill>
              <w14:schemeClr w14:val="tx1"/>
            </w14:solidFill>
          </w14:textFill>
        </w:rPr>
      </w:pPr>
      <w:bookmarkStart w:id="15" w:name="_Toc136873714"/>
      <w:r>
        <w:rPr>
          <w:rFonts w:hint="eastAsia" w:ascii="仿宋_GB2312" w:hAnsi="仿宋_GB2312" w:eastAsia="仿宋_GB2312" w:cs="仿宋_GB2312"/>
          <w:b w:val="0"/>
          <w:bCs w:val="0"/>
          <w:color w:val="000000" w:themeColor="text1"/>
          <w:sz w:val="32"/>
          <w14:textFill>
            <w14:solidFill>
              <w14:schemeClr w14:val="tx1"/>
            </w14:solidFill>
          </w14:textFill>
        </w:rPr>
        <w:t>4.综合应急能力支撑体系亟待提高</w:t>
      </w:r>
      <w:bookmarkEnd w:id="15"/>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镇（街道）和县级部门的应急管理队伍专业人才比例较低,基层基础仍较薄弱。灾害风险辨识和隐患排查专业能力较弱，缺乏应急指挥员队伍特别是灾害事故现场指挥官培养体系。基层应急管理能力不强，公众安全意识和自救互救能力急需提升，应急物资储备和经费保障制度有待完善，应急信息化支撑保障能力有待加强。 </w:t>
      </w:r>
    </w:p>
    <w:p>
      <w:pPr>
        <w:pStyle w:val="5"/>
        <w:spacing w:before="20" w:after="20" w:line="240" w:lineRule="auto"/>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16" w:name="_Toc69464530"/>
      <w:bookmarkStart w:id="17" w:name="_Toc136873715"/>
      <w:bookmarkStart w:id="18" w:name="_Toc69211210"/>
      <w:bookmarkStart w:id="19" w:name="_Toc76721763"/>
      <w:r>
        <w:rPr>
          <w:rFonts w:hint="eastAsia" w:ascii="仿宋_GB2312" w:hAnsi="仿宋_GB2312" w:eastAsia="仿宋_GB2312" w:cs="仿宋_GB2312"/>
          <w:b w:val="0"/>
          <w:bCs w:val="0"/>
          <w:color w:val="000000" w:themeColor="text1"/>
          <w:sz w:val="32"/>
          <w14:textFill>
            <w14:solidFill>
              <w14:schemeClr w14:val="tx1"/>
            </w14:solidFill>
          </w14:textFill>
        </w:rPr>
        <w:t>5.防灾减灾救援能力急需提升</w:t>
      </w:r>
      <w:bookmarkEnd w:id="16"/>
      <w:bookmarkEnd w:id="17"/>
      <w:bookmarkEnd w:id="18"/>
      <w:bookmarkEnd w:id="19"/>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重点风险隐患防治工程推进较慢。森林防灭火综合防控能力有待进一步提升。重点区域抗地震灾害风险能力需要进一步调查评估，全县地震监测预报预警和地震烈度速报能力还需加强。专业应急救援队伍和装备建设基础薄弱，应急现场处置的通信保障较为薄弱，灾害信息员保障制度有待健全。 </w:t>
      </w:r>
      <w:bookmarkStart w:id="20" w:name="_Toc76721764"/>
    </w:p>
    <w:p>
      <w:pPr>
        <w:pStyle w:val="5"/>
        <w:spacing w:before="20" w:after="20" w:line="240" w:lineRule="auto"/>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21" w:name="_Toc136873716"/>
      <w:r>
        <w:rPr>
          <w:rFonts w:hint="eastAsia" w:ascii="仿宋_GB2312" w:hAnsi="仿宋_GB2312" w:eastAsia="仿宋_GB2312" w:cs="仿宋_GB2312"/>
          <w:b w:val="0"/>
          <w:bCs w:val="0"/>
          <w:color w:val="000000" w:themeColor="text1"/>
          <w:sz w:val="32"/>
          <w14:textFill>
            <w14:solidFill>
              <w14:schemeClr w14:val="tx1"/>
            </w14:solidFill>
          </w14:textFill>
        </w:rPr>
        <w:t>6.应急管理信息平台亟需整合</w:t>
      </w:r>
      <w:bookmarkEnd w:id="20"/>
      <w:bookmarkEnd w:id="21"/>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各类灾害监测基础设施建设相对滞后，风险监测预警信息化水平有待提升。交通运输、住房城乡建设、经济信息化、水务、林业园林、自然资源、气象、防震减灾等部门的监测信息系统未能有效整合共享，信息化平台建设缺乏统一规划。预警信息的覆盖面、精准度和时效性等有待进一步提升。 </w:t>
      </w:r>
    </w:p>
    <w:p>
      <w:pPr>
        <w:pStyle w:val="4"/>
        <w:ind w:firstLine="640"/>
        <w:rPr>
          <w:rFonts w:hAnsi="楷体_GB2312" w:cs="楷体_GB2312"/>
          <w:b w:val="0"/>
          <w:bCs w:val="0"/>
          <w:color w:val="000000" w:themeColor="text1"/>
          <w:sz w:val="32"/>
          <w14:textFill>
            <w14:solidFill>
              <w14:schemeClr w14:val="tx1"/>
            </w14:solidFill>
          </w14:textFill>
        </w:rPr>
      </w:pPr>
      <w:bookmarkStart w:id="22" w:name="_Toc136873717"/>
      <w:r>
        <w:rPr>
          <w:rFonts w:hint="eastAsia" w:hAnsi="楷体_GB2312" w:cs="楷体_GB2312"/>
          <w:b w:val="0"/>
          <w:bCs w:val="0"/>
          <w:color w:val="000000" w:themeColor="text1"/>
          <w:sz w:val="32"/>
          <w14:textFill>
            <w14:solidFill>
              <w14:schemeClr w14:val="tx1"/>
            </w14:solidFill>
          </w14:textFill>
        </w:rPr>
        <w:t>（三）发展机遇</w:t>
      </w:r>
      <w:bookmarkEnd w:id="22"/>
    </w:p>
    <w:p>
      <w:pPr>
        <w:spacing w:line="6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五”时期是我国全面建设社会主义现代化国家新征程、向第二个百年奋斗目标进军的第一个五年。加快推进国家治理体系和治理能力现代化，为应急管理体系建设奠定了前所未有的发展机遇，主要体现在以下三个方面。</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一是以习近平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同志</w:t>
      </w:r>
      <w:r>
        <w:rPr>
          <w:rFonts w:hint="eastAsia" w:ascii="仿宋_GB2312" w:hAnsi="仿宋_GB2312" w:eastAsia="仿宋_GB2312" w:cs="仿宋_GB2312"/>
          <w:color w:val="000000" w:themeColor="text1"/>
          <w:sz w:val="32"/>
          <w:szCs w:val="32"/>
          <w14:textFill>
            <w14:solidFill>
              <w14:schemeClr w14:val="tx1"/>
            </w14:solidFill>
          </w14:textFill>
        </w:rPr>
        <w:t>为核心的党中央坚持以人民为中心的发展思想，坚持人民至上、生命至上，把应急管理体系和能力现代化建设提升到国家治理的战略高度，赋予应急管理职能部门重要职责使命，开启了中国特色应急管理体系建设的新阶段，为新时代应急管理工作指明了前进方向、提供了根本遵循。省委省政府、市委市政府和县委县政府高度重视应急管理工作，持续深化应急管理领域改革,全面推进安全生产、防灾减灾、应急救援等能力建设，必将有力促进应急管理事业加快发展。</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是深入贯彻新发展理念，加快构建新发展格局，推动了经济发展转型升级和产业结构不断优化，企业安全生产水平不断提升。随着“一带一路”建设、新时代推进西部大开发、成渝地区双城经济圈建设等国家战略部署全面实施，为加强风险源头预防管控、防范化解重大安全风险、增强抵御灾害事故韧性创造了有利条件。</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三是随着创新驱动发展战略深入实施，高分卫星、北斗导航、物联网、云计算、大数据、人工智能、5G等高科技手段广泛应用，为提升风险管控、监测预警、监管执法、应急救援等能力提供了强大科技支撑。</w:t>
      </w:r>
    </w:p>
    <w:p>
      <w:pPr>
        <w:pStyle w:val="3"/>
        <w:rPr>
          <w:color w:val="000000" w:themeColor="text1"/>
          <w:sz w:val="32"/>
          <w:szCs w:val="32"/>
          <w14:textFill>
            <w14:solidFill>
              <w14:schemeClr w14:val="tx1"/>
            </w14:solidFill>
          </w14:textFill>
        </w:rPr>
      </w:pPr>
      <w:bookmarkStart w:id="23" w:name="_Toc136873718"/>
      <w:r>
        <w:rPr>
          <w:rFonts w:hint="eastAsia"/>
          <w:color w:val="000000" w:themeColor="text1"/>
          <w:sz w:val="32"/>
          <w:szCs w:val="32"/>
          <w14:textFill>
            <w14:solidFill>
              <w14:schemeClr w14:val="tx1"/>
            </w14:solidFill>
          </w14:textFill>
        </w:rPr>
        <w:t>二、总体要求</w:t>
      </w:r>
      <w:bookmarkEnd w:id="23"/>
    </w:p>
    <w:p>
      <w:pPr>
        <w:pStyle w:val="4"/>
        <w:ind w:firstLine="640"/>
        <w:rPr>
          <w:rFonts w:hAnsi="楷体_GB2312" w:cs="楷体_GB2312"/>
          <w:b w:val="0"/>
          <w:bCs w:val="0"/>
          <w:color w:val="000000" w:themeColor="text1"/>
          <w:sz w:val="32"/>
          <w14:textFill>
            <w14:solidFill>
              <w14:schemeClr w14:val="tx1"/>
            </w14:solidFill>
          </w14:textFill>
        </w:rPr>
      </w:pPr>
      <w:bookmarkStart w:id="24" w:name="_Toc136873719"/>
      <w:r>
        <w:rPr>
          <w:rFonts w:hint="eastAsia" w:hAnsi="楷体_GB2312" w:cs="楷体_GB2312"/>
          <w:b w:val="0"/>
          <w:bCs w:val="0"/>
          <w:color w:val="000000" w:themeColor="text1"/>
          <w:sz w:val="32"/>
          <w14:textFill>
            <w14:solidFill>
              <w14:schemeClr w14:val="tx1"/>
            </w14:solidFill>
          </w14:textFill>
        </w:rPr>
        <w:t>（一）指导思想</w:t>
      </w:r>
      <w:bookmarkEnd w:id="24"/>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以习近平新时代中国特色社会主义思想为指导，全面贯彻党的十九大和十九届历次全会及</w:t>
      </w:r>
      <w:r>
        <w:rPr>
          <w:rFonts w:hint="eastAsia" w:ascii="仿宋_GB2312" w:hAnsi="仿宋_GB2312" w:eastAsia="仿宋_GB2312" w:cs="仿宋_GB2312"/>
          <w:color w:val="000000" w:themeColor="text1"/>
          <w:sz w:val="32"/>
          <w:szCs w:val="32"/>
          <w:lang w:eastAsia="zh-CN"/>
          <w14:textFill>
            <w14:solidFill>
              <w14:schemeClr w14:val="tx1"/>
            </w14:solidFill>
          </w14:textFill>
        </w:rPr>
        <w:t>党的</w:t>
      </w:r>
      <w:bookmarkStart w:id="183" w:name="_GoBack"/>
      <w:bookmarkEnd w:id="183"/>
      <w:r>
        <w:rPr>
          <w:rFonts w:hint="eastAsia" w:ascii="仿宋_GB2312" w:hAnsi="仿宋_GB2312" w:eastAsia="仿宋_GB2312" w:cs="仿宋_GB2312"/>
          <w:color w:val="000000" w:themeColor="text1"/>
          <w:sz w:val="32"/>
          <w:szCs w:val="32"/>
          <w14:textFill>
            <w14:solidFill>
              <w14:schemeClr w14:val="tx1"/>
            </w14:solidFill>
          </w14:textFill>
        </w:rPr>
        <w:t>二十大精神，认真落实省第十二次党代会决策部署，坚持人民至上、生命至上，坚持统筹发展和安全，以防范化解重大安全风险为主线，深入推进应急管理体系和能力现代化，聚焦建体系、固根本、防风险、强基础、补短板、提能力。进一步强化责任落实，完善防灾减灾救灾预案体系和各项准备，遏制重特大安全事故，最大程度减轻自然灾害风险和损失。增强应急救援能力，提升公众防灾减灾意识和自救互救能力，及时应对处置各类灾害事故，筑牢保护人民群众生命财产安全和社会稳定的坚固防线。</w:t>
      </w:r>
    </w:p>
    <w:p>
      <w:pPr>
        <w:pStyle w:val="4"/>
        <w:ind w:firstLine="640"/>
        <w:rPr>
          <w:rFonts w:hAnsi="楷体_GB2312" w:cs="楷体_GB2312"/>
          <w:b w:val="0"/>
          <w:bCs w:val="0"/>
          <w:color w:val="000000" w:themeColor="text1"/>
          <w:sz w:val="32"/>
          <w14:textFill>
            <w14:solidFill>
              <w14:schemeClr w14:val="tx1"/>
            </w14:solidFill>
          </w14:textFill>
        </w:rPr>
      </w:pPr>
      <w:bookmarkStart w:id="25" w:name="_Toc136873720"/>
      <w:r>
        <w:rPr>
          <w:rFonts w:hint="eastAsia" w:hAnsi="楷体_GB2312" w:cs="楷体_GB2312"/>
          <w:b w:val="0"/>
          <w:bCs w:val="0"/>
          <w:color w:val="000000" w:themeColor="text1"/>
          <w:sz w:val="32"/>
          <w14:textFill>
            <w14:solidFill>
              <w14:schemeClr w14:val="tx1"/>
            </w14:solidFill>
          </w14:textFill>
        </w:rPr>
        <w:t>（二）基本原则</w:t>
      </w:r>
      <w:bookmarkEnd w:id="25"/>
    </w:p>
    <w:p>
      <w:pPr>
        <w:pStyle w:val="5"/>
        <w:spacing w:before="20" w:after="20" w:line="240" w:lineRule="auto"/>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26" w:name="_Toc136873721"/>
      <w:r>
        <w:rPr>
          <w:rFonts w:hint="eastAsia" w:ascii="仿宋_GB2312" w:hAnsi="仿宋_GB2312" w:eastAsia="仿宋_GB2312" w:cs="仿宋_GB2312"/>
          <w:b w:val="0"/>
          <w:bCs w:val="0"/>
          <w:color w:val="000000" w:themeColor="text1"/>
          <w:sz w:val="32"/>
          <w14:textFill>
            <w14:solidFill>
              <w14:schemeClr w14:val="tx1"/>
            </w14:solidFill>
          </w14:textFill>
        </w:rPr>
        <w:t>1.坚持党的领导</w:t>
      </w:r>
      <w:bookmarkEnd w:id="26"/>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党对应急管理工作的绝对领导，充分发挥党总揽全局、协调各方的领导核心作用，把党的政治优势、组织优势转化为发展优势，健全各级党委领导下的应急管理行政领导负责制，为应急管理体系和能力现代化建设提供坚强保证。</w:t>
      </w:r>
    </w:p>
    <w:p>
      <w:pPr>
        <w:pStyle w:val="5"/>
        <w:spacing w:before="20" w:after="20" w:line="240" w:lineRule="auto"/>
        <w:ind w:firstLine="640" w:firstLineChars="200"/>
        <w:rPr>
          <w:rFonts w:ascii="仿宋_GB2312" w:hAnsi="仿宋_GB2312" w:eastAsia="仿宋_GB2312" w:cs="仿宋_GB2312"/>
          <w:color w:val="000000" w:themeColor="text1"/>
          <w:sz w:val="32"/>
          <w14:textFill>
            <w14:solidFill>
              <w14:schemeClr w14:val="tx1"/>
            </w14:solidFill>
          </w14:textFill>
        </w:rPr>
      </w:pPr>
      <w:bookmarkStart w:id="27" w:name="_Toc136873722"/>
      <w:r>
        <w:rPr>
          <w:rFonts w:hint="eastAsia" w:ascii="仿宋_GB2312" w:hAnsi="仿宋_GB2312" w:eastAsia="仿宋_GB2312" w:cs="仿宋_GB2312"/>
          <w:b w:val="0"/>
          <w:bCs w:val="0"/>
          <w:color w:val="000000" w:themeColor="text1"/>
          <w:sz w:val="32"/>
          <w14:textFill>
            <w14:solidFill>
              <w14:schemeClr w14:val="tx1"/>
            </w14:solidFill>
          </w14:textFill>
        </w:rPr>
        <w:t>2.坚持以人为本</w:t>
      </w:r>
      <w:bookmarkEnd w:id="27"/>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牢固树立以人民为中心的发展思想，把保护人民生命安全放在首位，强化底线思维，筑牢安全根基，牢牢守住安全发展底线，切实维护人民群众生命财产安全和社会稳定。</w:t>
      </w:r>
    </w:p>
    <w:p>
      <w:pPr>
        <w:pStyle w:val="5"/>
        <w:spacing w:before="20" w:after="20" w:line="240" w:lineRule="auto"/>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28" w:name="_Toc136873723"/>
      <w:r>
        <w:rPr>
          <w:rFonts w:hint="eastAsia" w:ascii="仿宋_GB2312" w:hAnsi="仿宋_GB2312" w:eastAsia="仿宋_GB2312" w:cs="仿宋_GB2312"/>
          <w:b w:val="0"/>
          <w:bCs w:val="0"/>
          <w:color w:val="000000" w:themeColor="text1"/>
          <w:sz w:val="32"/>
          <w14:textFill>
            <w14:solidFill>
              <w14:schemeClr w14:val="tx1"/>
            </w14:solidFill>
          </w14:textFill>
        </w:rPr>
        <w:t>3.坚持预防为主</w:t>
      </w:r>
      <w:bookmarkEnd w:id="28"/>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增强忧患意识，强化以防为主、准备为先理念，注重关口前移，强化源头管控，健全风险防范化解机制，最大限度管控风险、消除隐患，由应急处置为重点向全过程风险管理为核心转变。坚持以防为主、防抗救相结合，推进防灾减灾救灾一体化。 </w:t>
      </w:r>
    </w:p>
    <w:p>
      <w:pPr>
        <w:pStyle w:val="5"/>
        <w:spacing w:before="20" w:after="20" w:line="240" w:lineRule="auto"/>
        <w:ind w:firstLine="640" w:firstLineChars="200"/>
        <w:rPr>
          <w:rFonts w:ascii="仿宋_GB2312" w:hAnsi="仿宋_GB2312" w:eastAsia="仿宋_GB2312" w:cs="仿宋_GB2312"/>
          <w:color w:val="000000" w:themeColor="text1"/>
          <w:sz w:val="32"/>
          <w14:textFill>
            <w14:solidFill>
              <w14:schemeClr w14:val="tx1"/>
            </w14:solidFill>
          </w14:textFill>
        </w:rPr>
      </w:pPr>
      <w:bookmarkStart w:id="29" w:name="_Toc136873724"/>
      <w:r>
        <w:rPr>
          <w:rFonts w:hint="eastAsia" w:ascii="仿宋_GB2312" w:hAnsi="仿宋_GB2312" w:eastAsia="仿宋_GB2312" w:cs="仿宋_GB2312"/>
          <w:b w:val="0"/>
          <w:bCs w:val="0"/>
          <w:color w:val="000000" w:themeColor="text1"/>
          <w:sz w:val="32"/>
          <w14:textFill>
            <w14:solidFill>
              <w14:schemeClr w14:val="tx1"/>
            </w14:solidFill>
          </w14:textFill>
        </w:rPr>
        <w:t>4.坚持改革创新</w:t>
      </w:r>
      <w:bookmarkEnd w:id="29"/>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深化应急管理体制机制改革，破解制约应急管理事业发展的关键问题，强化统一组织、统一指挥、统一协调，建立权威高效灵敏的体制机制，构建全覆盖、网格化、规范高效的应急管理工作新格局。</w:t>
      </w:r>
    </w:p>
    <w:p>
      <w:pPr>
        <w:pStyle w:val="5"/>
        <w:spacing w:before="20" w:after="20" w:line="240" w:lineRule="auto"/>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30" w:name="_Toc136873725"/>
      <w:r>
        <w:rPr>
          <w:rFonts w:hint="eastAsia" w:ascii="仿宋_GB2312" w:hAnsi="仿宋_GB2312" w:eastAsia="仿宋_GB2312" w:cs="仿宋_GB2312"/>
          <w:b w:val="0"/>
          <w:bCs w:val="0"/>
          <w:color w:val="000000" w:themeColor="text1"/>
          <w:sz w:val="32"/>
          <w14:textFill>
            <w14:solidFill>
              <w14:schemeClr w14:val="tx1"/>
            </w14:solidFill>
          </w14:textFill>
        </w:rPr>
        <w:t>5.坚持共建共治</w:t>
      </w:r>
      <w:bookmarkEnd w:id="30"/>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把群众观点、群众路线贯彻工作全过程， 加强和创新社会治理，强化群防群治，加大宣传培训和科普力度，增强全社会安全意识，筑牢应急管理人民防线，构建共建共治共享格局。</w:t>
      </w:r>
    </w:p>
    <w:p>
      <w:pPr>
        <w:pStyle w:val="4"/>
        <w:ind w:firstLine="640"/>
        <w:rPr>
          <w:rFonts w:hAnsi="楷体_GB2312" w:cs="楷体_GB2312"/>
          <w:color w:val="000000" w:themeColor="text1"/>
          <w:sz w:val="32"/>
          <w14:textFill>
            <w14:solidFill>
              <w14:schemeClr w14:val="tx1"/>
            </w14:solidFill>
          </w14:textFill>
        </w:rPr>
      </w:pPr>
      <w:bookmarkStart w:id="31" w:name="_Toc136873726"/>
      <w:r>
        <w:rPr>
          <w:rFonts w:hint="eastAsia" w:hAnsi="楷体_GB2312" w:cs="楷体_GB2312"/>
          <w:b w:val="0"/>
          <w:bCs w:val="0"/>
          <w:color w:val="000000" w:themeColor="text1"/>
          <w:sz w:val="32"/>
          <w14:textFill>
            <w14:solidFill>
              <w14:schemeClr w14:val="tx1"/>
            </w14:solidFill>
          </w14:textFill>
        </w:rPr>
        <w:t>（三）主要目标</w:t>
      </w:r>
      <w:bookmarkEnd w:id="31"/>
    </w:p>
    <w:p>
      <w:pPr>
        <w:pStyle w:val="5"/>
        <w:spacing w:before="20" w:after="20" w:line="240" w:lineRule="auto"/>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32" w:name="_Toc136873727"/>
      <w:r>
        <w:rPr>
          <w:rFonts w:hint="eastAsia" w:ascii="仿宋_GB2312" w:hAnsi="仿宋_GB2312" w:eastAsia="仿宋_GB2312" w:cs="仿宋_GB2312"/>
          <w:b w:val="0"/>
          <w:bCs w:val="0"/>
          <w:color w:val="000000" w:themeColor="text1"/>
          <w:sz w:val="32"/>
          <w14:textFill>
            <w14:solidFill>
              <w14:schemeClr w14:val="tx1"/>
            </w14:solidFill>
          </w14:textFill>
        </w:rPr>
        <w:t>1.应急管理体制机制更加完善</w:t>
      </w:r>
      <w:bookmarkEnd w:id="32"/>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到2025年，基本形成统一指挥、专常兼备、反应灵敏、上下联动的应急管理体制，建成统一领导、权责一致、权威高效的应急能力体系，应急管理体系和能力现代化建设有效提升。</w:t>
      </w:r>
    </w:p>
    <w:p>
      <w:pPr>
        <w:pStyle w:val="5"/>
        <w:spacing w:before="20" w:after="20" w:line="240" w:lineRule="auto"/>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33" w:name="_Toc136873728"/>
      <w:r>
        <w:rPr>
          <w:rFonts w:hint="eastAsia" w:ascii="仿宋_GB2312" w:hAnsi="仿宋_GB2312" w:eastAsia="仿宋_GB2312" w:cs="仿宋_GB2312"/>
          <w:b w:val="0"/>
          <w:bCs w:val="0"/>
          <w:color w:val="000000" w:themeColor="text1"/>
          <w:sz w:val="32"/>
          <w14:textFill>
            <w14:solidFill>
              <w14:schemeClr w14:val="tx1"/>
            </w14:solidFill>
          </w14:textFill>
        </w:rPr>
        <w:t>2.应对处置事故灾害能力显著增强</w:t>
      </w:r>
      <w:bookmarkEnd w:id="33"/>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合应急救援队伍能力显著提升，专业应急救援队伍体系更加完善，社会应急救援力量健康有效发展，应急管理基层基础全面加强。应急预案、物资储备、应急通信、灾后救助等保障能力全面提高。社会公众应急意识和自救互救能力显著增强。</w:t>
      </w:r>
    </w:p>
    <w:p>
      <w:pPr>
        <w:pStyle w:val="5"/>
        <w:spacing w:before="20" w:after="20" w:line="240" w:lineRule="auto"/>
        <w:ind w:firstLine="640" w:firstLineChars="200"/>
        <w:rPr>
          <w:rFonts w:ascii="仿宋_GB2312" w:hAnsi="仿宋_GB2312" w:eastAsia="仿宋_GB2312" w:cs="仿宋_GB2312"/>
          <w:color w:val="000000" w:themeColor="text1"/>
          <w:sz w:val="32"/>
          <w14:textFill>
            <w14:solidFill>
              <w14:schemeClr w14:val="tx1"/>
            </w14:solidFill>
          </w14:textFill>
        </w:rPr>
      </w:pPr>
      <w:bookmarkStart w:id="34" w:name="_Toc136873729"/>
      <w:r>
        <w:rPr>
          <w:rFonts w:hint="eastAsia" w:ascii="仿宋_GB2312" w:hAnsi="仿宋_GB2312" w:eastAsia="仿宋_GB2312" w:cs="仿宋_GB2312"/>
          <w:b w:val="0"/>
          <w:bCs w:val="0"/>
          <w:color w:val="000000" w:themeColor="text1"/>
          <w:sz w:val="32"/>
          <w14:textFill>
            <w14:solidFill>
              <w14:schemeClr w14:val="tx1"/>
            </w14:solidFill>
          </w14:textFill>
        </w:rPr>
        <w:t>3.安全风险防控能力全面提升</w:t>
      </w:r>
      <w:bookmarkEnd w:id="34"/>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安全风险分级管控和隐患排查治理机制更加完善，企业安全生产主体责任全面落实。城乡基础设施防御自然灾害能力显著提升。重点行业领域安全生产水平大幅提高，有效防范遏制较大及以上生产安全事故，安全生产形势持续向好</w:t>
      </w:r>
      <w:bookmarkStart w:id="35" w:name="_Hlk86218759"/>
      <w:r>
        <w:rPr>
          <w:rFonts w:hint="eastAsia" w:ascii="仿宋_GB2312" w:hAnsi="仿宋_GB2312" w:eastAsia="仿宋_GB2312" w:cs="仿宋_GB2312"/>
          <w:color w:val="000000" w:themeColor="text1"/>
          <w:sz w:val="32"/>
          <w:szCs w:val="32"/>
          <w14:textFill>
            <w14:solidFill>
              <w14:schemeClr w14:val="tx1"/>
            </w14:solidFill>
          </w14:textFill>
        </w:rPr>
        <w:t>。</w:t>
      </w:r>
      <w:bookmarkEnd w:id="35"/>
    </w:p>
    <w:tbl>
      <w:tblPr>
        <w:tblStyle w:val="16"/>
        <w:tblW w:w="9508" w:type="dxa"/>
        <w:jc w:val="center"/>
        <w:tblLayout w:type="fixed"/>
        <w:tblCellMar>
          <w:top w:w="0" w:type="dxa"/>
          <w:left w:w="108" w:type="dxa"/>
          <w:bottom w:w="0" w:type="dxa"/>
          <w:right w:w="108" w:type="dxa"/>
        </w:tblCellMar>
      </w:tblPr>
      <w:tblGrid>
        <w:gridCol w:w="699"/>
        <w:gridCol w:w="3544"/>
        <w:gridCol w:w="3544"/>
        <w:gridCol w:w="1721"/>
      </w:tblGrid>
      <w:tr>
        <w:tblPrEx>
          <w:tblCellMar>
            <w:top w:w="0" w:type="dxa"/>
            <w:left w:w="108" w:type="dxa"/>
            <w:bottom w:w="0" w:type="dxa"/>
            <w:right w:w="108" w:type="dxa"/>
          </w:tblCellMar>
        </w:tblPrEx>
        <w:trPr>
          <w:trHeight w:val="241" w:hRule="atLeast"/>
          <w:jc w:val="center"/>
        </w:trPr>
        <w:tc>
          <w:tcPr>
            <w:tcW w:w="9508" w:type="dxa"/>
            <w:gridSpan w:val="4"/>
            <w:tcBorders>
              <w:top w:val="single" w:color="auto" w:sz="8" w:space="0"/>
              <w:left w:val="single" w:color="auto" w:sz="8" w:space="0"/>
              <w:bottom w:val="single" w:color="auto" w:sz="8" w:space="0"/>
              <w:right w:val="single" w:color="auto" w:sz="4" w:space="0"/>
            </w:tcBorders>
            <w:vAlign w:val="center"/>
          </w:tcPr>
          <w:p>
            <w:pPr>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专栏1：井研县“十四五”应急体系规划主要指标</w:t>
            </w:r>
          </w:p>
        </w:tc>
      </w:tr>
      <w:tr>
        <w:tblPrEx>
          <w:tblCellMar>
            <w:top w:w="0" w:type="dxa"/>
            <w:left w:w="108" w:type="dxa"/>
            <w:bottom w:w="0" w:type="dxa"/>
            <w:right w:w="108" w:type="dxa"/>
          </w:tblCellMar>
        </w:tblPrEx>
        <w:trPr>
          <w:trHeight w:val="232" w:hRule="atLeast"/>
          <w:jc w:val="center"/>
        </w:trPr>
        <w:tc>
          <w:tcPr>
            <w:tcW w:w="699" w:type="dxa"/>
            <w:tcBorders>
              <w:top w:val="nil"/>
              <w:left w:val="single" w:color="auto" w:sz="8" w:space="0"/>
              <w:bottom w:val="single" w:color="auto" w:sz="8" w:space="0"/>
              <w:right w:val="single" w:color="auto" w:sz="8" w:space="0"/>
            </w:tcBorders>
            <w:vAlign w:val="center"/>
          </w:tcPr>
          <w:p>
            <w:pPr>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序号</w:t>
            </w:r>
          </w:p>
        </w:tc>
        <w:tc>
          <w:tcPr>
            <w:tcW w:w="3544" w:type="dxa"/>
            <w:tcBorders>
              <w:top w:val="nil"/>
              <w:left w:val="nil"/>
              <w:bottom w:val="single" w:color="auto" w:sz="8" w:space="0"/>
              <w:right w:val="single" w:color="auto" w:sz="8" w:space="0"/>
            </w:tcBorders>
            <w:vAlign w:val="center"/>
          </w:tcPr>
          <w:p>
            <w:pPr>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指标名称</w:t>
            </w:r>
          </w:p>
        </w:tc>
        <w:tc>
          <w:tcPr>
            <w:tcW w:w="3544" w:type="dxa"/>
            <w:tcBorders>
              <w:top w:val="nil"/>
              <w:left w:val="nil"/>
              <w:bottom w:val="single" w:color="auto" w:sz="8" w:space="0"/>
              <w:right w:val="single" w:color="auto" w:sz="8" w:space="0"/>
            </w:tcBorders>
            <w:vAlign w:val="center"/>
          </w:tcPr>
          <w:p>
            <w:pPr>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指标值</w:t>
            </w:r>
          </w:p>
        </w:tc>
        <w:tc>
          <w:tcPr>
            <w:tcW w:w="1721" w:type="dxa"/>
            <w:tcBorders>
              <w:top w:val="nil"/>
              <w:left w:val="nil"/>
              <w:bottom w:val="single" w:color="auto" w:sz="8" w:space="0"/>
              <w:right w:val="single" w:color="auto" w:sz="8" w:space="0"/>
            </w:tcBorders>
            <w:vAlign w:val="center"/>
          </w:tcPr>
          <w:p>
            <w:pPr>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指标属性</w:t>
            </w:r>
          </w:p>
        </w:tc>
      </w:tr>
      <w:tr>
        <w:tblPrEx>
          <w:tblCellMar>
            <w:top w:w="0" w:type="dxa"/>
            <w:left w:w="108" w:type="dxa"/>
            <w:bottom w:w="0" w:type="dxa"/>
            <w:right w:w="108" w:type="dxa"/>
          </w:tblCellMar>
        </w:tblPrEx>
        <w:trPr>
          <w:jc w:val="center"/>
        </w:trPr>
        <w:tc>
          <w:tcPr>
            <w:tcW w:w="699" w:type="dxa"/>
            <w:tcBorders>
              <w:top w:val="nil"/>
              <w:left w:val="single" w:color="auto" w:sz="8" w:space="0"/>
              <w:bottom w:val="single" w:color="auto" w:sz="8" w:space="0"/>
              <w:right w:val="single" w:color="auto" w:sz="8"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3544" w:type="dxa"/>
            <w:tcBorders>
              <w:top w:val="nil"/>
              <w:left w:val="nil"/>
              <w:bottom w:val="single" w:color="auto" w:sz="8" w:space="0"/>
              <w:right w:val="single" w:color="auto" w:sz="8" w:space="0"/>
            </w:tcBorders>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生产安全事故死亡人数</w:t>
            </w:r>
          </w:p>
        </w:tc>
        <w:tc>
          <w:tcPr>
            <w:tcW w:w="3544" w:type="dxa"/>
            <w:tcBorders>
              <w:top w:val="nil"/>
              <w:left w:val="nil"/>
              <w:bottom w:val="single" w:color="auto" w:sz="8" w:space="0"/>
              <w:right w:val="single" w:color="auto" w:sz="8" w:space="0"/>
            </w:tcBorders>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“十四五”相比“十三五”期间总数同口径下降15%</w:t>
            </w:r>
          </w:p>
        </w:tc>
        <w:tc>
          <w:tcPr>
            <w:tcW w:w="1721" w:type="dxa"/>
            <w:tcBorders>
              <w:top w:val="nil"/>
              <w:left w:val="nil"/>
              <w:bottom w:val="single" w:color="auto" w:sz="8" w:space="0"/>
              <w:right w:val="single" w:color="auto" w:sz="8"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约束性</w:t>
            </w:r>
          </w:p>
        </w:tc>
      </w:tr>
      <w:tr>
        <w:tblPrEx>
          <w:tblCellMar>
            <w:top w:w="0" w:type="dxa"/>
            <w:left w:w="108" w:type="dxa"/>
            <w:bottom w:w="0" w:type="dxa"/>
            <w:right w:w="108" w:type="dxa"/>
          </w:tblCellMar>
        </w:tblPrEx>
        <w:trPr>
          <w:jc w:val="center"/>
        </w:trPr>
        <w:tc>
          <w:tcPr>
            <w:tcW w:w="699" w:type="dxa"/>
            <w:tcBorders>
              <w:top w:val="nil"/>
              <w:left w:val="single" w:color="auto" w:sz="8" w:space="0"/>
              <w:bottom w:val="single" w:color="auto" w:sz="8" w:space="0"/>
              <w:right w:val="single" w:color="auto" w:sz="8"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3544" w:type="dxa"/>
            <w:tcBorders>
              <w:top w:val="nil"/>
              <w:left w:val="nil"/>
              <w:bottom w:val="single" w:color="auto" w:sz="8" w:space="0"/>
              <w:right w:val="single" w:color="auto" w:sz="8" w:space="0"/>
            </w:tcBorders>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单位全县生产总值安全事故死亡率</w:t>
            </w:r>
          </w:p>
        </w:tc>
        <w:tc>
          <w:tcPr>
            <w:tcW w:w="3544" w:type="dxa"/>
            <w:tcBorders>
              <w:top w:val="nil"/>
              <w:left w:val="nil"/>
              <w:bottom w:val="single" w:color="auto" w:sz="8" w:space="0"/>
              <w:right w:val="single" w:color="auto" w:sz="8" w:space="0"/>
            </w:tcBorders>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“十四五”相比“十三五</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期间死亡率同口径下降33%</w:t>
            </w:r>
          </w:p>
        </w:tc>
        <w:tc>
          <w:tcPr>
            <w:tcW w:w="1721" w:type="dxa"/>
            <w:tcBorders>
              <w:top w:val="nil"/>
              <w:left w:val="nil"/>
              <w:bottom w:val="single" w:color="auto" w:sz="8" w:space="0"/>
              <w:right w:val="single" w:color="auto" w:sz="8"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约束性</w:t>
            </w:r>
          </w:p>
        </w:tc>
      </w:tr>
      <w:tr>
        <w:tblPrEx>
          <w:tblCellMar>
            <w:top w:w="0" w:type="dxa"/>
            <w:left w:w="108" w:type="dxa"/>
            <w:bottom w:w="0" w:type="dxa"/>
            <w:right w:w="108" w:type="dxa"/>
          </w:tblCellMar>
        </w:tblPrEx>
        <w:trPr>
          <w:jc w:val="center"/>
        </w:trPr>
        <w:tc>
          <w:tcPr>
            <w:tcW w:w="699" w:type="dxa"/>
            <w:tcBorders>
              <w:top w:val="nil"/>
              <w:left w:val="single" w:color="auto" w:sz="8" w:space="0"/>
              <w:bottom w:val="single" w:color="auto" w:sz="8" w:space="0"/>
              <w:right w:val="single" w:color="auto" w:sz="8"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3544" w:type="dxa"/>
            <w:tcBorders>
              <w:top w:val="nil"/>
              <w:left w:val="nil"/>
              <w:bottom w:val="single" w:color="auto" w:sz="8" w:space="0"/>
              <w:right w:val="single" w:color="auto" w:sz="8" w:space="0"/>
            </w:tcBorders>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工矿商贸就业人员五万人生产安全事故死亡率</w:t>
            </w:r>
          </w:p>
        </w:tc>
        <w:tc>
          <w:tcPr>
            <w:tcW w:w="3544" w:type="dxa"/>
            <w:tcBorders>
              <w:top w:val="nil"/>
              <w:left w:val="nil"/>
              <w:bottom w:val="single" w:color="auto" w:sz="8" w:space="0"/>
              <w:right w:val="single" w:color="auto" w:sz="8" w:space="0"/>
            </w:tcBorders>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“十四五”相比“十三五</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期间死亡率同口径下降10%</w:t>
            </w:r>
          </w:p>
        </w:tc>
        <w:tc>
          <w:tcPr>
            <w:tcW w:w="1721" w:type="dxa"/>
            <w:tcBorders>
              <w:top w:val="nil"/>
              <w:left w:val="nil"/>
              <w:bottom w:val="single" w:color="auto" w:sz="8" w:space="0"/>
              <w:right w:val="single" w:color="auto" w:sz="8"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约束性</w:t>
            </w:r>
          </w:p>
        </w:tc>
      </w:tr>
      <w:tr>
        <w:tblPrEx>
          <w:tblCellMar>
            <w:top w:w="0" w:type="dxa"/>
            <w:left w:w="108" w:type="dxa"/>
            <w:bottom w:w="0" w:type="dxa"/>
            <w:right w:w="108" w:type="dxa"/>
          </w:tblCellMar>
        </w:tblPrEx>
        <w:trPr>
          <w:jc w:val="center"/>
        </w:trPr>
        <w:tc>
          <w:tcPr>
            <w:tcW w:w="699" w:type="dxa"/>
            <w:tcBorders>
              <w:top w:val="nil"/>
              <w:left w:val="single" w:color="auto" w:sz="8" w:space="0"/>
              <w:bottom w:val="single" w:color="auto" w:sz="8" w:space="0"/>
              <w:right w:val="single" w:color="auto" w:sz="8"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p>
        </w:tc>
        <w:tc>
          <w:tcPr>
            <w:tcW w:w="3544" w:type="dxa"/>
            <w:tcBorders>
              <w:top w:val="nil"/>
              <w:left w:val="nil"/>
              <w:bottom w:val="single" w:color="auto" w:sz="8" w:space="0"/>
              <w:right w:val="single" w:color="auto" w:sz="8" w:space="0"/>
            </w:tcBorders>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年均因自然灾害直接经济损失占全县生产总值的比例</w:t>
            </w:r>
          </w:p>
        </w:tc>
        <w:tc>
          <w:tcPr>
            <w:tcW w:w="3544" w:type="dxa"/>
            <w:tcBorders>
              <w:top w:val="nil"/>
              <w:left w:val="nil"/>
              <w:bottom w:val="single" w:color="auto" w:sz="8" w:space="0"/>
              <w:right w:val="single" w:color="auto" w:sz="8" w:space="0"/>
            </w:tcBorders>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&lt;</w:t>
            </w:r>
            <w:r>
              <w:rPr>
                <w:color w:val="000000" w:themeColor="text1"/>
                <w:sz w:val="24"/>
                <w14:textFill>
                  <w14:solidFill>
                    <w14:schemeClr w14:val="tx1"/>
                  </w14:solidFill>
                </w14:textFill>
              </w:rPr>
              <w:t>1%</w:t>
            </w:r>
          </w:p>
        </w:tc>
        <w:tc>
          <w:tcPr>
            <w:tcW w:w="1721" w:type="dxa"/>
            <w:tcBorders>
              <w:top w:val="nil"/>
              <w:left w:val="nil"/>
              <w:bottom w:val="single" w:color="auto" w:sz="8" w:space="0"/>
              <w:right w:val="single" w:color="auto" w:sz="8"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预期性</w:t>
            </w:r>
          </w:p>
        </w:tc>
      </w:tr>
      <w:tr>
        <w:tblPrEx>
          <w:tblCellMar>
            <w:top w:w="0" w:type="dxa"/>
            <w:left w:w="108" w:type="dxa"/>
            <w:bottom w:w="0" w:type="dxa"/>
            <w:right w:w="108" w:type="dxa"/>
          </w:tblCellMar>
        </w:tblPrEx>
        <w:trPr>
          <w:jc w:val="center"/>
        </w:trPr>
        <w:tc>
          <w:tcPr>
            <w:tcW w:w="699" w:type="dxa"/>
            <w:tcBorders>
              <w:top w:val="nil"/>
              <w:left w:val="single" w:color="auto" w:sz="8" w:space="0"/>
              <w:bottom w:val="single" w:color="auto" w:sz="8" w:space="0"/>
              <w:right w:val="single" w:color="auto" w:sz="8"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p>
        </w:tc>
        <w:tc>
          <w:tcPr>
            <w:tcW w:w="3544" w:type="dxa"/>
            <w:tcBorders>
              <w:top w:val="nil"/>
              <w:left w:val="nil"/>
              <w:bottom w:val="single" w:color="auto" w:sz="8" w:space="0"/>
              <w:right w:val="single" w:color="auto" w:sz="8" w:space="0"/>
            </w:tcBorders>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年均每十万人口因自然灾害死亡率</w:t>
            </w:r>
          </w:p>
        </w:tc>
        <w:tc>
          <w:tcPr>
            <w:tcW w:w="3544" w:type="dxa"/>
            <w:tcBorders>
              <w:top w:val="nil"/>
              <w:left w:val="nil"/>
              <w:bottom w:val="single" w:color="auto" w:sz="8" w:space="0"/>
              <w:right w:val="single" w:color="auto" w:sz="8" w:space="0"/>
            </w:tcBorders>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&lt;</w:t>
            </w:r>
            <w:r>
              <w:rPr>
                <w:color w:val="000000" w:themeColor="text1"/>
                <w:sz w:val="24"/>
                <w14:textFill>
                  <w14:solidFill>
                    <w14:schemeClr w14:val="tx1"/>
                  </w14:solidFill>
                </w14:textFill>
              </w:rPr>
              <w:t>1</w:t>
            </w:r>
          </w:p>
        </w:tc>
        <w:tc>
          <w:tcPr>
            <w:tcW w:w="1721" w:type="dxa"/>
            <w:tcBorders>
              <w:top w:val="nil"/>
              <w:left w:val="nil"/>
              <w:bottom w:val="single" w:color="auto" w:sz="8" w:space="0"/>
              <w:right w:val="single" w:color="auto" w:sz="8"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预期性</w:t>
            </w:r>
          </w:p>
        </w:tc>
      </w:tr>
      <w:tr>
        <w:tblPrEx>
          <w:tblCellMar>
            <w:top w:w="0" w:type="dxa"/>
            <w:left w:w="108" w:type="dxa"/>
            <w:bottom w:w="0" w:type="dxa"/>
            <w:right w:w="108" w:type="dxa"/>
          </w:tblCellMar>
        </w:tblPrEx>
        <w:trPr>
          <w:jc w:val="center"/>
        </w:trPr>
        <w:tc>
          <w:tcPr>
            <w:tcW w:w="699" w:type="dxa"/>
            <w:tcBorders>
              <w:top w:val="nil"/>
              <w:left w:val="single" w:color="auto" w:sz="8" w:space="0"/>
              <w:bottom w:val="single" w:color="auto" w:sz="8" w:space="0"/>
              <w:right w:val="single" w:color="auto" w:sz="8"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w:t>
            </w:r>
          </w:p>
        </w:tc>
        <w:tc>
          <w:tcPr>
            <w:tcW w:w="3544" w:type="dxa"/>
            <w:tcBorders>
              <w:top w:val="nil"/>
              <w:left w:val="nil"/>
              <w:bottom w:val="single" w:color="auto" w:sz="8" w:space="0"/>
              <w:right w:val="single" w:color="auto" w:sz="8" w:space="0"/>
            </w:tcBorders>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年均每十万人受灾人次</w:t>
            </w:r>
          </w:p>
        </w:tc>
        <w:tc>
          <w:tcPr>
            <w:tcW w:w="3544" w:type="dxa"/>
            <w:tcBorders>
              <w:top w:val="nil"/>
              <w:left w:val="nil"/>
              <w:bottom w:val="single" w:color="auto" w:sz="8" w:space="0"/>
              <w:right w:val="single" w:color="auto" w:sz="8" w:space="0"/>
            </w:tcBorders>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&lt;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5000</w:t>
            </w:r>
          </w:p>
        </w:tc>
        <w:tc>
          <w:tcPr>
            <w:tcW w:w="1721" w:type="dxa"/>
            <w:tcBorders>
              <w:top w:val="nil"/>
              <w:left w:val="nil"/>
              <w:bottom w:val="single" w:color="auto" w:sz="8" w:space="0"/>
              <w:right w:val="single" w:color="auto" w:sz="8"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预期性</w:t>
            </w:r>
          </w:p>
        </w:tc>
      </w:tr>
    </w:tbl>
    <w:p>
      <w:pPr>
        <w:pStyle w:val="3"/>
        <w:rPr>
          <w:color w:val="000000" w:themeColor="text1"/>
          <w:sz w:val="32"/>
          <w:szCs w:val="32"/>
          <w14:textFill>
            <w14:solidFill>
              <w14:schemeClr w14:val="tx1"/>
            </w14:solidFill>
          </w14:textFill>
        </w:rPr>
      </w:pPr>
      <w:bookmarkStart w:id="36" w:name="_Toc136873730"/>
      <w:r>
        <w:rPr>
          <w:rFonts w:hint="eastAsia"/>
          <w:color w:val="000000" w:themeColor="text1"/>
          <w:sz w:val="32"/>
          <w:szCs w:val="32"/>
          <w14:textFill>
            <w14:solidFill>
              <w14:schemeClr w14:val="tx1"/>
            </w14:solidFill>
          </w14:textFill>
        </w:rPr>
        <w:t>三、主要任务</w:t>
      </w:r>
      <w:bookmarkEnd w:id="36"/>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井研县“十四五”应急体系建设以进一步深化体制机制改革，防范化解重大安全风险，推进综合防灾减灾，加强应急救援能力、应急基础和保障能力建设，加快应急管理信息化建设，提升依法治理和群防群治水平为重点。</w:t>
      </w:r>
    </w:p>
    <w:p>
      <w:pPr>
        <w:pStyle w:val="4"/>
        <w:ind w:firstLine="640"/>
        <w:rPr>
          <w:rFonts w:hAnsi="楷体_GB2312" w:cs="楷体_GB2312"/>
          <w:b w:val="0"/>
          <w:bCs w:val="0"/>
          <w:color w:val="000000" w:themeColor="text1"/>
          <w:sz w:val="32"/>
          <w14:textFill>
            <w14:solidFill>
              <w14:schemeClr w14:val="tx1"/>
            </w14:solidFill>
          </w14:textFill>
        </w:rPr>
      </w:pPr>
      <w:bookmarkStart w:id="37" w:name="_Toc136873731"/>
      <w:r>
        <w:rPr>
          <w:rFonts w:hint="eastAsia" w:hAnsi="楷体_GB2312" w:cs="楷体_GB2312"/>
          <w:b w:val="0"/>
          <w:bCs w:val="0"/>
          <w:color w:val="000000" w:themeColor="text1"/>
          <w:sz w:val="32"/>
          <w14:textFill>
            <w14:solidFill>
              <w14:schemeClr w14:val="tx1"/>
            </w14:solidFill>
          </w14:textFill>
        </w:rPr>
        <w:t>（一）深化应急管理体制机制改革</w:t>
      </w:r>
      <w:bookmarkEnd w:id="37"/>
    </w:p>
    <w:p>
      <w:pPr>
        <w:pStyle w:val="5"/>
        <w:spacing w:before="20" w:after="20" w:line="240" w:lineRule="auto"/>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38" w:name="_Toc136873732"/>
      <w:r>
        <w:rPr>
          <w:rFonts w:hint="eastAsia" w:ascii="仿宋_GB2312" w:hAnsi="仿宋_GB2312" w:eastAsia="仿宋_GB2312" w:cs="仿宋_GB2312"/>
          <w:b w:val="0"/>
          <w:bCs w:val="0"/>
          <w:color w:val="000000" w:themeColor="text1"/>
          <w:sz w:val="32"/>
          <w14:textFill>
            <w14:solidFill>
              <w14:schemeClr w14:val="tx1"/>
            </w14:solidFill>
          </w14:textFill>
        </w:rPr>
        <w:t>1.进一步健全组织领导体制</w:t>
      </w:r>
      <w:bookmarkEnd w:id="38"/>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39" w:name="_Toc76721775"/>
      <w:bookmarkStart w:id="40" w:name="_Toc69464541"/>
      <w:r>
        <w:rPr>
          <w:rFonts w:hint="eastAsia" w:ascii="仿宋_GB2312" w:hAnsi="仿宋_GB2312" w:eastAsia="仿宋_GB2312" w:cs="仿宋_GB2312"/>
          <w:color w:val="000000" w:themeColor="text1"/>
          <w:sz w:val="32"/>
          <w:szCs w:val="32"/>
          <w14:textFill>
            <w14:solidFill>
              <w14:schemeClr w14:val="tx1"/>
            </w14:solidFill>
          </w14:textFill>
        </w:rPr>
        <w:t>完善应急委统筹，应急管理部门协调、行业管理部门组织指导、镇（街道）属地管理的应急管理体制，建立党委政府领导下应急委统筹、各专项指挥部具体负责协调的应急指挥体系。细化应急指挥与应急处置工作方案，明确不同应急响应等级下的应急处置工作程序，确保统一指挥、部门配合、分级负责、属地管理。健全乡镇（街道）应急管理组织体系，提升基层应急管理能力。完善各类开发区、工业园区等功能区安全监管体制。</w:t>
      </w:r>
    </w:p>
    <w:bookmarkEnd w:id="39"/>
    <w:bookmarkEnd w:id="40"/>
    <w:p>
      <w:pPr>
        <w:pStyle w:val="5"/>
        <w:spacing w:before="20" w:after="20" w:line="240" w:lineRule="auto"/>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41" w:name="_Toc97928624"/>
      <w:bookmarkStart w:id="42" w:name="_Toc136873733"/>
      <w:r>
        <w:rPr>
          <w:rFonts w:hint="eastAsia" w:ascii="仿宋_GB2312" w:hAnsi="仿宋_GB2312" w:eastAsia="仿宋_GB2312" w:cs="仿宋_GB2312"/>
          <w:b w:val="0"/>
          <w:bCs w:val="0"/>
          <w:color w:val="000000" w:themeColor="text1"/>
          <w:sz w:val="32"/>
          <w14:textFill>
            <w14:solidFill>
              <w14:schemeClr w14:val="tx1"/>
            </w14:solidFill>
          </w14:textFill>
        </w:rPr>
        <w:t>2.优化协同联动和应急指挥机制</w:t>
      </w:r>
      <w:bookmarkEnd w:id="41"/>
      <w:bookmarkEnd w:id="42"/>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充分发挥县安办、应急办、减灾办、森防办、防汛办等统筹协调作用，发挥好应急管理部门的综合优势和各相关部门的专业优势，明确各部门在事故预防、灾害防治、信息发布、抢险救援、物资保障等方面的工作职责。健全重大安全风险防范化解协同机制，健全应急指挥总分结合机制, 强化应急状态下应急、自然资源、水务、气象、生态环境、交通运输、公安等多部门信息共享、力量合成、资源互补,推动形成“大应急”工作格局。探索应对巨灾叠加冲击的应急指挥机制，建设专业化应急指挥员队伍,探索推行灾害事故现场指挥官制度。进一步厘清行政指挥和技术指挥的职责边界,规范现场处置流程,增强指挥处置的科学性、安全性、精准性、有效性。健全应急值守、分级响应机制,明确各级各类灾害事故响应程序,规范指挥处置流程。完善会商研判、预警发布、抢险救援、指挥调度、协调协作等制度，提高协作能力和应急处置效能。构建跨区域联动机制，推动建立军地紧密合作的抢险救灾协调机制。发挥应急安全专家在应急指挥决策中的作用，提高专业指挥决策能力。 </w:t>
      </w:r>
    </w:p>
    <w:p>
      <w:pPr>
        <w:pStyle w:val="5"/>
        <w:spacing w:before="20" w:after="20" w:line="240" w:lineRule="auto"/>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43" w:name="_Toc136873734"/>
      <w:bookmarkStart w:id="44" w:name="_Toc97928625"/>
      <w:bookmarkStart w:id="45" w:name="_Toc69464544"/>
      <w:bookmarkStart w:id="46" w:name="_Toc76721778"/>
      <w:r>
        <w:rPr>
          <w:rFonts w:hint="eastAsia" w:ascii="仿宋_GB2312" w:hAnsi="仿宋_GB2312" w:eastAsia="仿宋_GB2312" w:cs="仿宋_GB2312"/>
          <w:b w:val="0"/>
          <w:bCs w:val="0"/>
          <w:color w:val="000000" w:themeColor="text1"/>
          <w:sz w:val="32"/>
          <w14:textFill>
            <w14:solidFill>
              <w14:schemeClr w14:val="tx1"/>
            </w14:solidFill>
          </w14:textFill>
        </w:rPr>
        <w:t>3.压实应急管理责任</w:t>
      </w:r>
      <w:bookmarkEnd w:id="43"/>
      <w:bookmarkEnd w:id="44"/>
    </w:p>
    <w:p>
      <w:pPr>
        <w:spacing w:line="60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面落实“党政同责、一岗双责、齐抓共管、失职追责”和“三管三必须”的安全生产责任制。建立健全地方属地责任、行业部门监管责任、应急管理部门综合监管责任和企业主体责任边界清晰、落实到位的责任体系。健全灾害事故监测预警预报、风险隐患排查整治、应急准备与救援救灾等工作责任制。进一步细化并全面推行安全生产清单制管理责任体系建设，健全生产经营单位负责、职工参与、政府监管、行业自律、社会监督的安全生产治理机制,推行企业全员安全生产责任制和安全生产承诺制,进一步落实企业主体责任。完善县、镇（街道）自然灾害防范、治理、救援工作责任清单，提升各级各部门防治救协同效能，把责任链条延伸到防范化解安全风险、应急救援指挥和防灾减灾救灾全过程。完善应急管理责任考评制度和奖惩机制，强化安全生产巡查考核，严格安全责任追究。</w:t>
      </w:r>
    </w:p>
    <w:bookmarkEnd w:id="45"/>
    <w:bookmarkEnd w:id="46"/>
    <w:p>
      <w:pPr>
        <w:pStyle w:val="4"/>
        <w:ind w:firstLine="640"/>
        <w:rPr>
          <w:rFonts w:hAnsi="楷体_GB2312" w:cs="楷体_GB2312"/>
          <w:color w:val="000000" w:themeColor="text1"/>
          <w:sz w:val="32"/>
          <w14:textFill>
            <w14:solidFill>
              <w14:schemeClr w14:val="tx1"/>
            </w14:solidFill>
          </w14:textFill>
        </w:rPr>
      </w:pPr>
      <w:bookmarkStart w:id="47" w:name="_Toc136873735"/>
      <w:bookmarkStart w:id="48" w:name="_Toc69464547"/>
      <w:bookmarkStart w:id="49" w:name="_Toc76721781"/>
      <w:r>
        <w:rPr>
          <w:rFonts w:hint="eastAsia" w:hAnsi="楷体_GB2312" w:cs="楷体_GB2312"/>
          <w:b w:val="0"/>
          <w:bCs w:val="0"/>
          <w:color w:val="000000" w:themeColor="text1"/>
          <w:sz w:val="32"/>
          <w14:textFill>
            <w14:solidFill>
              <w14:schemeClr w14:val="tx1"/>
            </w14:solidFill>
          </w14:textFill>
        </w:rPr>
        <w:t>（二）防范化解重大生产安全风险</w:t>
      </w:r>
      <w:bookmarkEnd w:id="47"/>
      <w:bookmarkEnd w:id="48"/>
      <w:bookmarkEnd w:id="49"/>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摸清行业企业安全风险基础信息底数，健全和落实安全生产责任制、完善风险分级管控和隐患排查治理双重预防机制，强化安全生产监督执法和专项整治，提升企业本质安全水平。</w:t>
      </w:r>
    </w:p>
    <w:p>
      <w:pPr>
        <w:pStyle w:val="5"/>
        <w:spacing w:before="20" w:after="20" w:line="240" w:lineRule="auto"/>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50" w:name="_Toc69211227"/>
      <w:bookmarkStart w:id="51" w:name="_Toc97928627"/>
      <w:bookmarkStart w:id="52" w:name="_Toc69464548"/>
      <w:bookmarkStart w:id="53" w:name="_Toc136873736"/>
      <w:bookmarkStart w:id="54" w:name="_Toc76721788"/>
      <w:bookmarkStart w:id="55" w:name="_Toc69464554"/>
      <w:r>
        <w:rPr>
          <w:rFonts w:hint="eastAsia" w:ascii="仿宋_GB2312" w:hAnsi="仿宋_GB2312" w:eastAsia="仿宋_GB2312" w:cs="仿宋_GB2312"/>
          <w:b w:val="0"/>
          <w:bCs w:val="0"/>
          <w:color w:val="000000" w:themeColor="text1"/>
          <w:sz w:val="32"/>
          <w14:textFill>
            <w14:solidFill>
              <w14:schemeClr w14:val="tx1"/>
            </w14:solidFill>
          </w14:textFill>
        </w:rPr>
        <w:t>1.</w:t>
      </w:r>
      <w:bookmarkStart w:id="56" w:name="_Hlk87393212"/>
      <w:r>
        <w:rPr>
          <w:rFonts w:hint="eastAsia" w:ascii="仿宋_GB2312" w:hAnsi="仿宋_GB2312" w:eastAsia="仿宋_GB2312" w:cs="仿宋_GB2312"/>
          <w:b w:val="0"/>
          <w:bCs w:val="0"/>
          <w:color w:val="000000" w:themeColor="text1"/>
          <w:sz w:val="32"/>
          <w14:textFill>
            <w14:solidFill>
              <w14:schemeClr w14:val="tx1"/>
            </w14:solidFill>
          </w14:textFill>
        </w:rPr>
        <w:t>加强风险源头管控</w:t>
      </w:r>
      <w:bookmarkEnd w:id="50"/>
      <w:bookmarkEnd w:id="51"/>
      <w:bookmarkEnd w:id="52"/>
      <w:bookmarkEnd w:id="53"/>
      <w:bookmarkEnd w:id="56"/>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行业部门督促指导各类生产经营单位，建立常态化摸排辨识重大风险工作机制，动态掌握风险变化，建立完善风险管控任务清单，明确风险位置、具体表现、管控措施、监管人员等基础信息，做到重大风险实时管控。各行业部门定期开展重点区域、重大工程和重要设施安全风险评估，精准部署并推动落实防范化解重大风险。</w:t>
      </w:r>
    </w:p>
    <w:p>
      <w:pPr>
        <w:pStyle w:val="5"/>
        <w:spacing w:before="20" w:after="20" w:line="240" w:lineRule="auto"/>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57" w:name="_Toc69464549"/>
      <w:bookmarkStart w:id="58" w:name="_Toc69211228"/>
      <w:bookmarkStart w:id="59" w:name="_Toc136873737"/>
      <w:bookmarkStart w:id="60" w:name="_Toc97928628"/>
      <w:r>
        <w:rPr>
          <w:rFonts w:hint="eastAsia" w:ascii="仿宋_GB2312" w:hAnsi="仿宋_GB2312" w:eastAsia="仿宋_GB2312" w:cs="仿宋_GB2312"/>
          <w:b w:val="0"/>
          <w:bCs w:val="0"/>
          <w:color w:val="000000" w:themeColor="text1"/>
          <w:sz w:val="32"/>
          <w14:textFill>
            <w14:solidFill>
              <w14:schemeClr w14:val="tx1"/>
            </w14:solidFill>
          </w14:textFill>
        </w:rPr>
        <w:t>2.</w:t>
      </w:r>
      <w:bookmarkEnd w:id="57"/>
      <w:bookmarkEnd w:id="58"/>
      <w:bookmarkStart w:id="61" w:name="_Toc69211229"/>
      <w:bookmarkStart w:id="62" w:name="_Toc69464550"/>
      <w:r>
        <w:rPr>
          <w:rFonts w:hint="eastAsia" w:ascii="仿宋_GB2312" w:hAnsi="仿宋_GB2312" w:eastAsia="仿宋_GB2312" w:cs="仿宋_GB2312"/>
          <w:b w:val="0"/>
          <w:bCs w:val="0"/>
          <w:color w:val="000000" w:themeColor="text1"/>
          <w:sz w:val="32"/>
          <w14:textFill>
            <w14:solidFill>
              <w14:schemeClr w14:val="tx1"/>
            </w14:solidFill>
          </w14:textFill>
        </w:rPr>
        <w:t>健全完善双重预防机制</w:t>
      </w:r>
      <w:bookmarkEnd w:id="59"/>
      <w:bookmarkEnd w:id="60"/>
      <w:bookmarkEnd w:id="61"/>
      <w:bookmarkEnd w:id="62"/>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开展企业安全生产风险普查，辨识生产工艺、设备设施、作业环境和管理体系等方面存在的安全风险及危险程度，动态完善安全生产风险“四色图”，分级分类落实管控措施，全面建立企业安全生产风险常态化排查管控机制。加强安全隐患排查治理，完善隐患排查、治理、记录、通报、报告等重点环节的程序、方法和标准。推动企业全员参与排查整治隐患，形成企业安全隐患自查自纠常态化机制。</w:t>
      </w:r>
      <w:bookmarkStart w:id="63" w:name="_Toc69211230"/>
    </w:p>
    <w:p>
      <w:pPr>
        <w:pStyle w:val="5"/>
        <w:spacing w:before="20" w:after="20"/>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64" w:name="_Toc69464551"/>
      <w:bookmarkStart w:id="65" w:name="_Toc97928629"/>
      <w:bookmarkStart w:id="66" w:name="_Toc136873738"/>
      <w:r>
        <w:rPr>
          <w:rFonts w:hint="eastAsia" w:ascii="仿宋_GB2312" w:hAnsi="仿宋_GB2312" w:eastAsia="仿宋_GB2312" w:cs="仿宋_GB2312"/>
          <w:b w:val="0"/>
          <w:bCs w:val="0"/>
          <w:color w:val="000000" w:themeColor="text1"/>
          <w:sz w:val="32"/>
          <w14:textFill>
            <w14:solidFill>
              <w14:schemeClr w14:val="tx1"/>
            </w14:solidFill>
          </w14:textFill>
        </w:rPr>
        <w:t>3.</w:t>
      </w:r>
      <w:bookmarkEnd w:id="63"/>
      <w:bookmarkEnd w:id="64"/>
      <w:r>
        <w:rPr>
          <w:rFonts w:hint="eastAsia" w:ascii="仿宋_GB2312" w:hAnsi="仿宋_GB2312" w:eastAsia="仿宋_GB2312" w:cs="仿宋_GB2312"/>
          <w:b w:val="0"/>
          <w:bCs w:val="0"/>
          <w:color w:val="000000" w:themeColor="text1"/>
          <w:sz w:val="32"/>
          <w14:textFill>
            <w14:solidFill>
              <w14:schemeClr w14:val="tx1"/>
            </w14:solidFill>
          </w14:textFill>
        </w:rPr>
        <w:t>加强安全生产专项整治</w:t>
      </w:r>
      <w:bookmarkEnd w:id="65"/>
      <w:bookmarkEnd w:id="66"/>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深入开展本质安全专项整治行动，持续推进企业安全生产标准化创建，强化行业示范带动作用。完善安全风险分级管控和隐患排查治理双重预防机制,严格落实企业“双报告”制度,实施重大安全隐患分级挂牌督办。加快推动清单制管理工作提档升级。加强危险化学品、消防、城镇燃气、交通运输、城市建设、工业园区、工贸、特种设备等重点行业领域以及商场、旅游景区等人员密集场所安全风险防范，强化源头治理、系统治理、综合治理和依法治理，提升全县本质安全水平。</w:t>
      </w:r>
    </w:p>
    <w:p>
      <w:pPr>
        <w:pStyle w:val="5"/>
        <w:spacing w:before="20" w:after="20"/>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67" w:name="_Toc97928630"/>
      <w:bookmarkStart w:id="68" w:name="_Toc136873739"/>
      <w:bookmarkStart w:id="69" w:name="_Hlk92800322"/>
      <w:r>
        <w:rPr>
          <w:rFonts w:hint="eastAsia" w:ascii="仿宋_GB2312" w:hAnsi="仿宋_GB2312" w:eastAsia="仿宋_GB2312" w:cs="仿宋_GB2312"/>
          <w:b w:val="0"/>
          <w:bCs w:val="0"/>
          <w:color w:val="000000" w:themeColor="text1"/>
          <w:sz w:val="32"/>
          <w14:textFill>
            <w14:solidFill>
              <w14:schemeClr w14:val="tx1"/>
            </w14:solidFill>
          </w14:textFill>
        </w:rPr>
        <w:t>4.强化重点行业安全监管</w:t>
      </w:r>
      <w:bookmarkEnd w:id="67"/>
      <w:bookmarkEnd w:id="68"/>
    </w:p>
    <w:bookmarkEnd w:id="69"/>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危险化学品方面。严格落实“三个必须”要求，强化危险化学品全链条安全监管。推进基于信息化的危险化学品企业安全风险分级管控和隐患排查治理双重预防机制建设。开展危险化学品企业安全风险评估和设计诊断，落实“一企一策”整治提升方案。 </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交通运输方面。深入实施公路安全生命防护工程、危旧桥(隧)改造工程，加强临水临崖、连续长陡下坡、急弯陡坡等隐患路段整治。加强老旧客车监管,基本消除货车非法改装、“大吨小标”等违法违规突出问题。加强危险货物道路运输安全管理,集中开展常压液体危险货物运输罐车治理,强化危险货物托运、承运、装卸、车辆运行安全监管。</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城市建设方面。持续开展城市危险房屋排查整治,依法查处违法建设、违规改变建筑主体结构或使用功能等造成安全隐患行为。建立完善城市桥梁、地下管线工程建设台账,落实安全风险管控措施。加强城市地下基础设施安全管理,严格执行燃气工程技术标准,健全燃气行业管理和事故防范长效机制。开展起重机械、高支模、大型脚手架、深基坑等专项治理,严肃查处各类施工安全事故,依法打击建筑市场违法违规行为。</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特种设备方面。在涉氨制冷、硝化、精细化工等重点危险化学品企业,医院、学校、主题公园、景区、宾馆等重点公共聚集场所,工程施工工地、仓储物流等重点工贸行业场所,气瓶充装单位和城镇燃气管道安装、使用单位等重点燃气企业,开展特种设备安全集中整治。持续改进电梯维护保养模式,调整完善电梯检验检测方式,充分发挥物联网等技术在电梯安全监管中的作用,加强电梯维护保养和检验检测事中事后监管,提高电梯运行安全水平。 </w:t>
      </w:r>
    </w:p>
    <w:bookmarkEnd w:id="54"/>
    <w:bookmarkEnd w:id="55"/>
    <w:p>
      <w:pPr>
        <w:pStyle w:val="4"/>
        <w:ind w:firstLine="640"/>
        <w:rPr>
          <w:rFonts w:hAnsi="楷体_GB2312" w:cs="楷体_GB2312"/>
          <w:color w:val="000000" w:themeColor="text1"/>
          <w:sz w:val="32"/>
          <w14:textFill>
            <w14:solidFill>
              <w14:schemeClr w14:val="tx1"/>
            </w14:solidFill>
          </w14:textFill>
        </w:rPr>
      </w:pPr>
      <w:bookmarkStart w:id="70" w:name="_Toc136873740"/>
      <w:bookmarkStart w:id="71" w:name="_Toc97928631"/>
      <w:bookmarkStart w:id="72" w:name="_Toc69464562"/>
      <w:bookmarkStart w:id="73" w:name="_Toc76721796"/>
      <w:r>
        <w:rPr>
          <w:rFonts w:hint="eastAsia" w:hAnsi="楷体_GB2312" w:cs="楷体_GB2312"/>
          <w:b w:val="0"/>
          <w:bCs w:val="0"/>
          <w:color w:val="000000" w:themeColor="text1"/>
          <w:sz w:val="32"/>
          <w14:textFill>
            <w14:solidFill>
              <w14:schemeClr w14:val="tx1"/>
            </w14:solidFill>
          </w14:textFill>
        </w:rPr>
        <w:t>（三）推进综合防灾减灾工作</w:t>
      </w:r>
      <w:bookmarkEnd w:id="70"/>
      <w:bookmarkEnd w:id="71"/>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坚持以防为主、防抗救相结合,注重从灾后救助向灾前预防转变，提升自然灾害“防治救”综合能力，最大程度减少灾害损失。</w:t>
      </w:r>
    </w:p>
    <w:p>
      <w:pPr>
        <w:pStyle w:val="5"/>
        <w:spacing w:before="20" w:after="20"/>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74" w:name="_Toc97928632"/>
      <w:bookmarkStart w:id="75" w:name="_Toc69464555"/>
      <w:bookmarkStart w:id="76" w:name="_Toc136873741"/>
      <w:r>
        <w:rPr>
          <w:rFonts w:hint="eastAsia" w:ascii="仿宋_GB2312" w:hAnsi="仿宋_GB2312" w:eastAsia="仿宋_GB2312" w:cs="仿宋_GB2312"/>
          <w:b w:val="0"/>
          <w:bCs w:val="0"/>
          <w:color w:val="000000" w:themeColor="text1"/>
          <w:sz w:val="32"/>
          <w14:textFill>
            <w14:solidFill>
              <w14:schemeClr w14:val="tx1"/>
            </w14:solidFill>
          </w14:textFill>
        </w:rPr>
        <w:t>1.开展自然灾害综合风险普查</w:t>
      </w:r>
      <w:bookmarkEnd w:id="74"/>
      <w:bookmarkEnd w:id="75"/>
      <w:bookmarkEnd w:id="76"/>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扎实做好第一次全国自然灾害综合风险普查，不断健全工作制度指南，严格实施技术规范，推动各项重点普查工作科学有序开展，确保202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 xml:space="preserve">年底前高质量完成普查工作。切实加强部门之间数据信息共享，避免重复调查；强化数据质量管控，提升数据汇集分析的效率和精准度。 </w:t>
      </w:r>
    </w:p>
    <w:p>
      <w:pPr>
        <w:pStyle w:val="5"/>
        <w:spacing w:before="20" w:after="20"/>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77" w:name="_Toc69464556"/>
      <w:bookmarkStart w:id="78" w:name="_Toc136873742"/>
      <w:bookmarkStart w:id="79" w:name="_Toc97928633"/>
      <w:r>
        <w:rPr>
          <w:rFonts w:hint="eastAsia" w:ascii="仿宋_GB2312" w:hAnsi="仿宋_GB2312" w:eastAsia="仿宋_GB2312" w:cs="仿宋_GB2312"/>
          <w:b w:val="0"/>
          <w:bCs w:val="0"/>
          <w:color w:val="000000" w:themeColor="text1"/>
          <w:sz w:val="32"/>
          <w14:textFill>
            <w14:solidFill>
              <w14:schemeClr w14:val="tx1"/>
            </w14:solidFill>
          </w14:textFill>
        </w:rPr>
        <w:t>2.推动自然灾害风险隐患治理</w:t>
      </w:r>
      <w:bookmarkEnd w:id="77"/>
      <w:bookmarkEnd w:id="78"/>
      <w:bookmarkEnd w:id="79"/>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充分发挥自然灾害综合风险普查数据在隐患治理中作用，强化防灾减灾关口前移，加快推进自然灾害风险预防与有效治理。客观把握自然灾害风险隐患底数和综合风险水平，重点做好洪涝、地质灾害、地震等自然灾害防范应对工作，全面提高城乡安全保障水平。推进乡村危房除险改造，提升房屋灾害防御能力。加强河流湖泊治理骨干工程建设，推进病险水库及病险水闸除险加固、山洪灾害防治等工作，推进水利工程防洪达标建设，发挥好重大水利工程安全阀作用。加强海绵城市和城市排水防涝设施建设，推进雨污分流改造，提升城市低洼地段、下穿式隧道、行洪河道和排水防涝主出口等薄弱环节蓄排能力，提高城市洪涝灾害防御水平。 </w:t>
      </w:r>
    </w:p>
    <w:p>
      <w:pPr>
        <w:pStyle w:val="5"/>
        <w:spacing w:before="20" w:after="20"/>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80" w:name="_Toc69464557"/>
      <w:bookmarkStart w:id="81" w:name="_Toc136873743"/>
      <w:bookmarkStart w:id="82" w:name="_Toc97928634"/>
      <w:r>
        <w:rPr>
          <w:rFonts w:hint="eastAsia" w:ascii="仿宋_GB2312" w:hAnsi="仿宋_GB2312" w:eastAsia="仿宋_GB2312" w:cs="仿宋_GB2312"/>
          <w:b w:val="0"/>
          <w:bCs w:val="0"/>
          <w:color w:val="000000" w:themeColor="text1"/>
          <w:sz w:val="32"/>
          <w14:textFill>
            <w14:solidFill>
              <w14:schemeClr w14:val="tx1"/>
            </w14:solidFill>
          </w14:textFill>
        </w:rPr>
        <w:t>3.加强多灾种精准</w:t>
      </w:r>
      <w:bookmarkEnd w:id="80"/>
      <w:r>
        <w:rPr>
          <w:rFonts w:hint="eastAsia" w:ascii="仿宋_GB2312" w:hAnsi="仿宋_GB2312" w:eastAsia="仿宋_GB2312" w:cs="仿宋_GB2312"/>
          <w:b w:val="0"/>
          <w:bCs w:val="0"/>
          <w:color w:val="000000" w:themeColor="text1"/>
          <w:sz w:val="32"/>
          <w14:textFill>
            <w14:solidFill>
              <w14:schemeClr w14:val="tx1"/>
            </w14:solidFill>
          </w14:textFill>
        </w:rPr>
        <w:t>监测预警</w:t>
      </w:r>
      <w:bookmarkEnd w:id="81"/>
      <w:bookmarkEnd w:id="82"/>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灾害事故风险分类监测和分级预警，提升对多灾种和灾害链综合监测、风险早期识别、预报预警和分析研判能力。统筹多灾种灾害信息管理，实现气象观测站、洪水预报站、地震监测站、地质灾害群测群防点、林火远程监控点之间的信息共享。加强基层监测员队伍建设，进一步增强监测、预警调度的及时性和准确性，落实第一时间把预警信息传达到村、到户、到人。完善重点行业部门灾害信息员制度，加强次生灾害风险预警能力建设。健全应急信息发布工作机制，依托广播电视网络，与宣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融媒体</w:t>
      </w:r>
      <w:r>
        <w:rPr>
          <w:rFonts w:hint="eastAsia" w:ascii="仿宋_GB2312" w:hAnsi="仿宋_GB2312" w:eastAsia="仿宋_GB2312" w:cs="仿宋_GB2312"/>
          <w:color w:val="000000" w:themeColor="text1"/>
          <w:sz w:val="32"/>
          <w:szCs w:val="32"/>
          <w14:textFill>
            <w14:solidFill>
              <w14:schemeClr w14:val="tx1"/>
            </w14:solidFill>
          </w14:textFill>
        </w:rPr>
        <w:t>等部门建立联动工作机制；利用好互联网新媒体，扩大“乐山应急”“微井研”等相关公众号的渗透率，强化多灾种预警和信息发布，提升灾害预警信息发布的准确性、时效性和社会公众覆盖率。</w:t>
      </w:r>
    </w:p>
    <w:p>
      <w:pPr>
        <w:pStyle w:val="5"/>
        <w:spacing w:before="20" w:after="20"/>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83" w:name="_Toc97928635"/>
      <w:bookmarkStart w:id="84" w:name="_Toc136873744"/>
      <w:bookmarkStart w:id="85" w:name="_Toc69464558"/>
      <w:r>
        <w:rPr>
          <w:rFonts w:hint="eastAsia" w:ascii="仿宋_GB2312" w:hAnsi="仿宋_GB2312" w:eastAsia="仿宋_GB2312" w:cs="仿宋_GB2312"/>
          <w:b w:val="0"/>
          <w:bCs w:val="0"/>
          <w:color w:val="000000" w:themeColor="text1"/>
          <w:sz w:val="32"/>
          <w14:textFill>
            <w14:solidFill>
              <w14:schemeClr w14:val="tx1"/>
            </w14:solidFill>
          </w14:textFill>
        </w:rPr>
        <w:t>4.持续提升森林防灭火能力</w:t>
      </w:r>
      <w:bookmarkEnd w:id="83"/>
      <w:bookmarkEnd w:id="84"/>
      <w:bookmarkEnd w:id="85"/>
      <w:r>
        <w:rPr>
          <w:rFonts w:hint="eastAsia" w:ascii="仿宋_GB2312" w:hAnsi="仿宋_GB2312" w:eastAsia="仿宋_GB2312" w:cs="仿宋_GB2312"/>
          <w:b w:val="0"/>
          <w:bCs w:val="0"/>
          <w:color w:val="000000" w:themeColor="text1"/>
          <w:sz w:val="32"/>
          <w14:textFill>
            <w14:solidFill>
              <w14:schemeClr w14:val="tx1"/>
            </w14:solidFill>
          </w14:textFill>
        </w:rPr>
        <w:t xml:space="preserve"> </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健全智能高效的监测监控体系和快速反应的扑救体系。科学编制森林火灾应急预案，推进森林防灭火队伍规范化建设，加大森林防火宣传教育力度。落实森林防火末端发力和终端见效工作机制，积极探索护林联防新机制，构建森林防火基层防控体系。大力推广无人机巡护、野外林火视频监控系统等技防建设，着力推进防灭火道路、取水点等基础设施建设工作，全面提升森林防灭火综合防控能力和扑救水平。</w:t>
      </w:r>
    </w:p>
    <w:p>
      <w:pPr>
        <w:pStyle w:val="5"/>
        <w:spacing w:before="20" w:after="20"/>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86" w:name="_Toc97928636"/>
      <w:bookmarkStart w:id="87" w:name="_Toc136873745"/>
      <w:bookmarkStart w:id="88" w:name="_Toc69464559"/>
      <w:r>
        <w:rPr>
          <w:rFonts w:hint="eastAsia" w:ascii="仿宋_GB2312" w:hAnsi="仿宋_GB2312" w:eastAsia="仿宋_GB2312" w:cs="仿宋_GB2312"/>
          <w:b w:val="0"/>
          <w:bCs w:val="0"/>
          <w:color w:val="000000" w:themeColor="text1"/>
          <w:sz w:val="32"/>
          <w14:textFill>
            <w14:solidFill>
              <w14:schemeClr w14:val="tx1"/>
            </w14:solidFill>
          </w14:textFill>
        </w:rPr>
        <w:t>5.进一步加强防震减灾工作</w:t>
      </w:r>
      <w:bookmarkEnd w:id="86"/>
      <w:bookmarkEnd w:id="87"/>
      <w:bookmarkEnd w:id="88"/>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地震监测工作，提升地震预测预报水平。落实建设工程特别是重大建设工程抗震设防要求，实施地震灾害风险隐患排查整治、地震灾害损失预评估调研，提升防范地震灾害风险能力。推进防震减灾依法行政，加强地震监测设施和地震观测环境保护、建设工程抗震设防监管等重点领域行政执法。</w:t>
      </w:r>
    </w:p>
    <w:bookmarkEnd w:id="72"/>
    <w:bookmarkEnd w:id="73"/>
    <w:p>
      <w:pPr>
        <w:pStyle w:val="4"/>
        <w:ind w:firstLine="640"/>
        <w:rPr>
          <w:rFonts w:hAnsi="楷体_GB2312" w:cs="楷体_GB2312"/>
          <w:color w:val="000000" w:themeColor="text1"/>
          <w:sz w:val="32"/>
          <w14:textFill>
            <w14:solidFill>
              <w14:schemeClr w14:val="tx1"/>
            </w14:solidFill>
          </w14:textFill>
        </w:rPr>
      </w:pPr>
      <w:bookmarkStart w:id="89" w:name="_Toc97928637"/>
      <w:bookmarkStart w:id="90" w:name="_Toc136873746"/>
      <w:bookmarkStart w:id="91" w:name="_Toc76721802"/>
      <w:bookmarkStart w:id="92" w:name="_Toc69464566"/>
      <w:r>
        <w:rPr>
          <w:rFonts w:hint="eastAsia" w:hAnsi="楷体_GB2312" w:cs="楷体_GB2312"/>
          <w:b w:val="0"/>
          <w:bCs w:val="0"/>
          <w:color w:val="000000" w:themeColor="text1"/>
          <w:sz w:val="32"/>
          <w14:textFill>
            <w14:solidFill>
              <w14:schemeClr w14:val="tx1"/>
            </w14:solidFill>
          </w14:textFill>
        </w:rPr>
        <w:t>（四）加强应急救援能力建设</w:t>
      </w:r>
      <w:bookmarkEnd w:id="89"/>
      <w:bookmarkEnd w:id="90"/>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建强应急救援队伍，完善力量体系，优化力量配置，大力提升应急救援能力。</w:t>
      </w:r>
    </w:p>
    <w:p>
      <w:pPr>
        <w:pStyle w:val="5"/>
        <w:spacing w:before="20" w:after="20"/>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93" w:name="_Toc97928638"/>
      <w:bookmarkStart w:id="94" w:name="_Toc136873747"/>
      <w:bookmarkStart w:id="95" w:name="_Toc69464563"/>
      <w:r>
        <w:rPr>
          <w:rFonts w:hint="eastAsia" w:ascii="仿宋_GB2312" w:hAnsi="仿宋_GB2312" w:eastAsia="仿宋_GB2312" w:cs="仿宋_GB2312"/>
          <w:b w:val="0"/>
          <w:bCs w:val="0"/>
          <w:color w:val="000000" w:themeColor="text1"/>
          <w:sz w:val="32"/>
          <w14:textFill>
            <w14:solidFill>
              <w14:schemeClr w14:val="tx1"/>
            </w14:solidFill>
          </w14:textFill>
        </w:rPr>
        <w:t>1.</w:t>
      </w:r>
      <w:bookmarkStart w:id="96" w:name="_Hlk75728641"/>
      <w:r>
        <w:rPr>
          <w:rFonts w:hint="eastAsia" w:ascii="仿宋_GB2312" w:hAnsi="仿宋_GB2312" w:eastAsia="仿宋_GB2312" w:cs="仿宋_GB2312"/>
          <w:b w:val="0"/>
          <w:bCs w:val="0"/>
          <w:color w:val="000000" w:themeColor="text1"/>
          <w:sz w:val="32"/>
          <w14:textFill>
            <w14:solidFill>
              <w14:schemeClr w14:val="tx1"/>
            </w14:solidFill>
          </w14:textFill>
        </w:rPr>
        <w:t>提升综合应急救援能力</w:t>
      </w:r>
      <w:bookmarkEnd w:id="93"/>
      <w:bookmarkEnd w:id="94"/>
      <w:bookmarkEnd w:id="96"/>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面落实《井研县应急救援能力提升行动计划（2020—2022年）实施方案》，补齐应急救援短板，基本建成符合国家要求、满足井研急需、可靠有效的综合应急救援体系。进一步加强全县应急救援的系统性、整体性、协同性，提升指挥协调、救援处置、风险防范和监管执法能力，实现应急救援能力整体提升的总体目标。</w:t>
      </w:r>
    </w:p>
    <w:p>
      <w:pPr>
        <w:pStyle w:val="5"/>
        <w:spacing w:before="20" w:after="20"/>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97" w:name="_Toc97928639"/>
      <w:bookmarkStart w:id="98" w:name="_Toc136873748"/>
      <w:r>
        <w:rPr>
          <w:rFonts w:hint="eastAsia" w:ascii="仿宋_GB2312" w:hAnsi="仿宋_GB2312" w:eastAsia="仿宋_GB2312" w:cs="仿宋_GB2312"/>
          <w:b w:val="0"/>
          <w:bCs w:val="0"/>
          <w:color w:val="000000" w:themeColor="text1"/>
          <w:sz w:val="32"/>
          <w14:textFill>
            <w14:solidFill>
              <w14:schemeClr w14:val="tx1"/>
            </w14:solidFill>
          </w14:textFill>
        </w:rPr>
        <w:t>2.建强综合性消防救援队伍</w:t>
      </w:r>
      <w:bookmarkEnd w:id="97"/>
      <w:bookmarkEnd w:id="98"/>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支持县消防救援大队按照应急救援主力军和国家队的定位，加强正规化、专业化、职业化建设。优化力量布局，优化先进适用装备，强化多灾种专业化训练演练，提高极端条件下综合救援能力。科学配备专职消防队伍，建立带训代管机制，实行联勤联管联训联战。推进城市消防站、乡镇专职消防队建设，打造城乡统筹、响应及时的消防站（队）网络，实现应急救援力量全覆盖。</w:t>
      </w:r>
    </w:p>
    <w:bookmarkEnd w:id="95"/>
    <w:p>
      <w:pPr>
        <w:pStyle w:val="5"/>
        <w:spacing w:before="20" w:after="20"/>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99" w:name="_Toc69464564"/>
      <w:bookmarkStart w:id="100" w:name="_Toc136873749"/>
      <w:bookmarkStart w:id="101" w:name="_Toc97928640"/>
      <w:r>
        <w:rPr>
          <w:rFonts w:hint="eastAsia" w:ascii="仿宋_GB2312" w:hAnsi="仿宋_GB2312" w:eastAsia="仿宋_GB2312" w:cs="仿宋_GB2312"/>
          <w:b w:val="0"/>
          <w:bCs w:val="0"/>
          <w:color w:val="000000" w:themeColor="text1"/>
          <w:sz w:val="32"/>
          <w14:textFill>
            <w14:solidFill>
              <w14:schemeClr w14:val="tx1"/>
            </w14:solidFill>
          </w14:textFill>
        </w:rPr>
        <w:t>3.</w:t>
      </w:r>
      <w:bookmarkEnd w:id="99"/>
      <w:r>
        <w:rPr>
          <w:rFonts w:hint="eastAsia" w:ascii="仿宋_GB2312" w:hAnsi="仿宋_GB2312" w:eastAsia="仿宋_GB2312" w:cs="仿宋_GB2312"/>
          <w:b w:val="0"/>
          <w:bCs w:val="0"/>
          <w:color w:val="000000" w:themeColor="text1"/>
          <w:sz w:val="32"/>
          <w14:textFill>
            <w14:solidFill>
              <w14:schemeClr w14:val="tx1"/>
            </w14:solidFill>
          </w14:textFill>
        </w:rPr>
        <w:t>充实专业性骨干救援队伍</w:t>
      </w:r>
      <w:bookmarkEnd w:id="100"/>
      <w:bookmarkEnd w:id="101"/>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统筹专业救援力量布局，采用共建、合作等方式，逐步充实县级专业应急队伍，补充更新技术装备，形成数量充足、布局合理、反应迅速、处置有力的专业骨干应急救援队伍体系。依托消防救援队伍现有专业救援队，组建县级骨干专业应急救援队伍。充实部门应急救援保障队伍，建立由行业专家、技术干部、管理干部组成的技术支撑类应急救援队伍。</w:t>
      </w:r>
    </w:p>
    <w:p>
      <w:pPr>
        <w:pStyle w:val="5"/>
        <w:spacing w:before="20" w:after="20"/>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102" w:name="_Toc69464565"/>
      <w:bookmarkStart w:id="103" w:name="_Toc136873750"/>
      <w:bookmarkStart w:id="104" w:name="_Toc97928641"/>
      <w:r>
        <w:rPr>
          <w:rFonts w:hint="eastAsia" w:ascii="仿宋_GB2312" w:hAnsi="仿宋_GB2312" w:eastAsia="仿宋_GB2312" w:cs="仿宋_GB2312"/>
          <w:b w:val="0"/>
          <w:bCs w:val="0"/>
          <w:color w:val="000000" w:themeColor="text1"/>
          <w:sz w:val="32"/>
          <w14:textFill>
            <w14:solidFill>
              <w14:schemeClr w14:val="tx1"/>
            </w14:solidFill>
          </w14:textFill>
        </w:rPr>
        <w:t>4.</w:t>
      </w:r>
      <w:bookmarkEnd w:id="102"/>
      <w:r>
        <w:rPr>
          <w:rFonts w:hint="eastAsia" w:ascii="仿宋_GB2312" w:hAnsi="仿宋_GB2312" w:eastAsia="仿宋_GB2312" w:cs="仿宋_GB2312"/>
          <w:b w:val="0"/>
          <w:bCs w:val="0"/>
          <w:color w:val="000000" w:themeColor="text1"/>
          <w:sz w:val="32"/>
          <w14:textFill>
            <w14:solidFill>
              <w14:schemeClr w14:val="tx1"/>
            </w14:solidFill>
          </w14:textFill>
        </w:rPr>
        <w:t xml:space="preserve"> 发展社会救援力量</w:t>
      </w:r>
      <w:bookmarkEnd w:id="103"/>
      <w:bookmarkEnd w:id="104"/>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开展社会应急力量调查摸底，全面掌握社会应急救援力量基本情况。建立健全社会应急队伍登记和分级分类管理制度。积极培育发展社会应急力量，充分发挥社会组织、志愿者等社会力量在预防准备、应急抢险救援和灾后过渡安置、恢复重建等方面的补充作用。完善社会救援队伍应急调用和补偿机制，明确参与应急救援的方式、范围和补偿标准。建立社会应急救援队伍激励机制，按照国家和省市有关规定给予表彰或奖励。将社会应急力量参与防灾减灾和应急救援工作纳入政府购买服务范围，建立社会应急救援队伍与政府专业应急救援队伍的资源共享机制。</w:t>
      </w:r>
    </w:p>
    <w:p>
      <w:pPr>
        <w:pStyle w:val="5"/>
        <w:spacing w:before="20" w:after="20"/>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105" w:name="_Toc136873751"/>
      <w:r>
        <w:rPr>
          <w:rFonts w:hint="eastAsia" w:ascii="仿宋_GB2312" w:hAnsi="仿宋_GB2312" w:eastAsia="仿宋_GB2312" w:cs="仿宋_GB2312"/>
          <w:b w:val="0"/>
          <w:bCs w:val="0"/>
          <w:color w:val="000000" w:themeColor="text1"/>
          <w:sz w:val="32"/>
          <w14:textFill>
            <w14:solidFill>
              <w14:schemeClr w14:val="tx1"/>
            </w14:solidFill>
          </w14:textFill>
        </w:rPr>
        <w:t>5.</w:t>
      </w:r>
      <w:bookmarkStart w:id="106" w:name="_Hlk97146962"/>
      <w:r>
        <w:rPr>
          <w:rFonts w:hint="eastAsia" w:ascii="仿宋_GB2312" w:hAnsi="仿宋_GB2312" w:eastAsia="仿宋_GB2312" w:cs="仿宋_GB2312"/>
          <w:b w:val="0"/>
          <w:bCs w:val="0"/>
          <w:color w:val="000000" w:themeColor="text1"/>
          <w:sz w:val="32"/>
          <w14:textFill>
            <w14:solidFill>
              <w14:schemeClr w14:val="tx1"/>
            </w14:solidFill>
          </w14:textFill>
        </w:rPr>
        <w:t>提升军地、区域联动水平</w:t>
      </w:r>
      <w:bookmarkEnd w:id="105"/>
      <w:bookmarkEnd w:id="106"/>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加强与驻研部队、武警中队对接，进一步加强与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青神</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仁寿、荣县</w:t>
      </w:r>
      <w:r>
        <w:rPr>
          <w:rFonts w:hint="eastAsia" w:ascii="仿宋_GB2312" w:hAnsi="仿宋_GB2312" w:eastAsia="仿宋_GB2312" w:cs="仿宋_GB2312"/>
          <w:color w:val="000000" w:themeColor="text1"/>
          <w:sz w:val="32"/>
          <w:szCs w:val="32"/>
          <w14:textFill>
            <w14:solidFill>
              <w14:schemeClr w14:val="tx1"/>
            </w14:solidFill>
          </w14:textFill>
        </w:rPr>
        <w:t>、市中区、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五通桥区、</w:t>
      </w:r>
      <w:r>
        <w:rPr>
          <w:rFonts w:hint="eastAsia" w:ascii="仿宋_GB2312" w:hAnsi="仿宋_GB2312" w:eastAsia="仿宋_GB2312" w:cs="仿宋_GB2312"/>
          <w:color w:val="000000" w:themeColor="text1"/>
          <w:sz w:val="32"/>
          <w:szCs w:val="32"/>
          <w14:textFill>
            <w14:solidFill>
              <w14:schemeClr w14:val="tx1"/>
            </w14:solidFill>
          </w14:textFill>
        </w:rPr>
        <w:t>犍为县等相邻市县的交流合作，完善突发事件预防和应急救援联动机制，健全森林防灭火联合工作机制。</w:t>
      </w:r>
    </w:p>
    <w:bookmarkEnd w:id="91"/>
    <w:bookmarkEnd w:id="92"/>
    <w:p>
      <w:pPr>
        <w:pStyle w:val="4"/>
        <w:ind w:firstLine="640"/>
        <w:rPr>
          <w:rFonts w:hAnsi="楷体_GB2312" w:cs="楷体_GB2312"/>
          <w:b w:val="0"/>
          <w:bCs w:val="0"/>
          <w:color w:val="000000" w:themeColor="text1"/>
          <w:sz w:val="32"/>
          <w14:textFill>
            <w14:solidFill>
              <w14:schemeClr w14:val="tx1"/>
            </w14:solidFill>
          </w14:textFill>
        </w:rPr>
      </w:pPr>
      <w:bookmarkStart w:id="107" w:name="_Toc97928642"/>
      <w:bookmarkStart w:id="108" w:name="_Toc136873752"/>
      <w:bookmarkStart w:id="109" w:name="_Toc76721807"/>
      <w:bookmarkStart w:id="110" w:name="_Toc69464571"/>
      <w:r>
        <w:rPr>
          <w:rFonts w:hint="eastAsia" w:hAnsi="楷体_GB2312" w:cs="楷体_GB2312"/>
          <w:b w:val="0"/>
          <w:bCs w:val="0"/>
          <w:color w:val="000000" w:themeColor="text1"/>
          <w:sz w:val="32"/>
          <w14:textFill>
            <w14:solidFill>
              <w14:schemeClr w14:val="tx1"/>
            </w14:solidFill>
          </w14:textFill>
        </w:rPr>
        <w:t>（五）加强应急基础和保障能力建设</w:t>
      </w:r>
      <w:bookmarkEnd w:id="107"/>
      <w:bookmarkEnd w:id="108"/>
    </w:p>
    <w:p>
      <w:pPr>
        <w:pStyle w:val="5"/>
        <w:spacing w:before="20" w:after="20"/>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111" w:name="_Toc69464567"/>
      <w:bookmarkStart w:id="112" w:name="_Toc136873753"/>
      <w:bookmarkStart w:id="113" w:name="_Toc97928643"/>
      <w:r>
        <w:rPr>
          <w:rFonts w:hint="eastAsia" w:ascii="仿宋_GB2312" w:hAnsi="仿宋_GB2312" w:eastAsia="仿宋_GB2312" w:cs="仿宋_GB2312"/>
          <w:b w:val="0"/>
          <w:bCs w:val="0"/>
          <w:color w:val="000000" w:themeColor="text1"/>
          <w:sz w:val="32"/>
          <w14:textFill>
            <w14:solidFill>
              <w14:schemeClr w14:val="tx1"/>
            </w14:solidFill>
          </w14:textFill>
        </w:rPr>
        <w:t>1.强化应急物资</w:t>
      </w:r>
      <w:bookmarkEnd w:id="111"/>
      <w:r>
        <w:rPr>
          <w:rFonts w:hint="eastAsia" w:ascii="仿宋_GB2312" w:hAnsi="仿宋_GB2312" w:eastAsia="仿宋_GB2312" w:cs="仿宋_GB2312"/>
          <w:b w:val="0"/>
          <w:bCs w:val="0"/>
          <w:color w:val="000000" w:themeColor="text1"/>
          <w:sz w:val="32"/>
          <w14:textFill>
            <w14:solidFill>
              <w14:schemeClr w14:val="tx1"/>
            </w14:solidFill>
          </w14:textFill>
        </w:rPr>
        <w:t>保障</w:t>
      </w:r>
      <w:bookmarkEnd w:id="112"/>
      <w:bookmarkEnd w:id="113"/>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全县统筹、分类管理、分级负责、统一调度”的原则，建立政府主导的集中储备与企业等社会力量分散储备相结合的应急物资储备体系。县财政部门加强应急物资储备的资金保障。立足防大灾、救大灾需要，合理确定各级各类应急物资和装备储备库布局，推进救灾物资储备库建设。</w:t>
      </w:r>
      <w:bookmarkStart w:id="114" w:name="_Toc69464568"/>
      <w:r>
        <w:rPr>
          <w:rFonts w:hint="eastAsia" w:ascii="仿宋_GB2312" w:hAnsi="仿宋_GB2312" w:eastAsia="仿宋_GB2312" w:cs="仿宋_GB2312"/>
          <w:color w:val="000000" w:themeColor="text1"/>
          <w:sz w:val="32"/>
          <w:szCs w:val="32"/>
          <w14:textFill>
            <w14:solidFill>
              <w14:schemeClr w14:val="tx1"/>
            </w14:solidFill>
          </w14:textFill>
        </w:rPr>
        <w:t>建立应急物资储备更新、轮换及损耗的补偿政策和救灾物资社会捐赠机制，提高社会应急救援物资紧急动员能力。</w:t>
      </w:r>
      <w:bookmarkEnd w:id="114"/>
      <w:r>
        <w:rPr>
          <w:rFonts w:hint="eastAsia" w:ascii="仿宋_GB2312" w:hAnsi="仿宋_GB2312" w:eastAsia="仿宋_GB2312" w:cs="仿宋_GB2312"/>
          <w:color w:val="000000" w:themeColor="text1"/>
          <w:sz w:val="32"/>
          <w:szCs w:val="32"/>
          <w14:textFill>
            <w14:solidFill>
              <w14:schemeClr w14:val="tx1"/>
            </w14:solidFill>
          </w14:textFill>
        </w:rPr>
        <w:t xml:space="preserve">加强综合性消防救援队伍和专业救援队伍应急救援装备保障能力，改善和提升应急救援装备水平，实现配置现代化和配备合理化。加强政企合作，引导特殊行业企业有针对性地增加应急器材配备。因地制宜重点配备应急救援和工程抢险等大型装备、特种设备及器材。建立应急抢险装备器材紧急调用和征用补偿机制、大型专用应急救援设备统筹调用征用机制，实现资源共享。 </w:t>
      </w:r>
      <w:bookmarkStart w:id="115" w:name="_Toc97928644"/>
    </w:p>
    <w:p>
      <w:pPr>
        <w:pStyle w:val="5"/>
        <w:spacing w:before="20" w:after="20"/>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116" w:name="_Toc136873754"/>
      <w:r>
        <w:rPr>
          <w:rFonts w:hint="eastAsia" w:ascii="仿宋_GB2312" w:hAnsi="仿宋_GB2312" w:eastAsia="仿宋_GB2312" w:cs="仿宋_GB2312"/>
          <w:b w:val="0"/>
          <w:bCs w:val="0"/>
          <w:color w:val="000000" w:themeColor="text1"/>
          <w:sz w:val="32"/>
          <w14:textFill>
            <w14:solidFill>
              <w14:schemeClr w14:val="tx1"/>
            </w14:solidFill>
          </w14:textFill>
        </w:rPr>
        <w:t>2.健全完善应急预案</w:t>
      </w:r>
      <w:bookmarkEnd w:id="115"/>
      <w:bookmarkEnd w:id="116"/>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国家、四川省、乐山市和井研县突发事件总体应急预案为遵循，加强应急预案的统一规划和分级分类管理，健全横向到边、纵向到底的应急预案体系。编制修订县内重要目标、重大危险源、重大活动、重大基础设施安全保障应急预案。加强应急预案编制修订过程中的风险评估和应急资源调查，编制预案配套工作手册、行动方案等支撑文件，提高预案针对性、实用性和可操作性。进一步厘清各部门职责边界，统筹做好相关应急预案衔接工作。建立常态化应急演练制度，坚持每年开展综合演练，不断完善预案、磨合机制、锻炼队伍，全面提升应急实战能力。</w:t>
      </w:r>
      <w:bookmarkStart w:id="117" w:name="_Toc97928645"/>
    </w:p>
    <w:p>
      <w:pPr>
        <w:pStyle w:val="5"/>
        <w:spacing w:before="20" w:after="20"/>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118" w:name="_Toc136873755"/>
      <w:r>
        <w:rPr>
          <w:rFonts w:hint="eastAsia" w:ascii="仿宋_GB2312" w:hAnsi="仿宋_GB2312" w:eastAsia="仿宋_GB2312" w:cs="仿宋_GB2312"/>
          <w:b w:val="0"/>
          <w:bCs w:val="0"/>
          <w:color w:val="000000" w:themeColor="text1"/>
          <w:sz w:val="32"/>
          <w14:textFill>
            <w14:solidFill>
              <w14:schemeClr w14:val="tx1"/>
            </w14:solidFill>
          </w14:textFill>
        </w:rPr>
        <w:t>3.提升灾害救助水平</w:t>
      </w:r>
      <w:bookmarkEnd w:id="117"/>
      <w:bookmarkEnd w:id="118"/>
      <w:r>
        <w:rPr>
          <w:rFonts w:hint="eastAsia" w:ascii="仿宋_GB2312" w:hAnsi="仿宋_GB2312" w:eastAsia="仿宋_GB2312" w:cs="仿宋_GB2312"/>
          <w:b w:val="0"/>
          <w:bCs w:val="0"/>
          <w:color w:val="000000" w:themeColor="text1"/>
          <w:sz w:val="32"/>
          <w14:textFill>
            <w14:solidFill>
              <w14:schemeClr w14:val="tx1"/>
            </w14:solidFill>
          </w14:textFill>
        </w:rPr>
        <w:t xml:space="preserve"> </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国家、省、市自然灾害救助机制，逐步建立与我县经济社会发展水平适应的救助制度，提升灾害救助水平。完善自然灾害救助资金审批信息系统，并通过“一卡通”系统发放救助资金，实现救助资金使用公开透明。按照“属地为主，分级负责，灾区群众广泛参与”的灾后民房恢复重建机制，加强灾后民房恢复重建资金的管理和监督，提升资金使用效益。采取多种方式推进因灾倒损民房重建进度，提高农房建设质量和安全。及时开展灾后卫生防疫工作，坚决防止“大灾之后有大疫”。落实对因灾导致严重生活困难群众的帮扶措施，保障基本生活，积极防止因灾返贫致贫。</w:t>
      </w:r>
    </w:p>
    <w:bookmarkEnd w:id="109"/>
    <w:bookmarkEnd w:id="110"/>
    <w:p>
      <w:pPr>
        <w:pStyle w:val="4"/>
        <w:ind w:firstLine="640"/>
        <w:rPr>
          <w:rFonts w:hAnsi="楷体_GB2312" w:cs="楷体_GB2312"/>
          <w:b w:val="0"/>
          <w:bCs w:val="0"/>
          <w:color w:val="000000" w:themeColor="text1"/>
          <w:sz w:val="32"/>
          <w14:textFill>
            <w14:solidFill>
              <w14:schemeClr w14:val="tx1"/>
            </w14:solidFill>
          </w14:textFill>
        </w:rPr>
      </w:pPr>
      <w:bookmarkStart w:id="119" w:name="_Toc136873756"/>
      <w:bookmarkStart w:id="120" w:name="_Toc97928646"/>
      <w:bookmarkStart w:id="121" w:name="_Toc69464576"/>
      <w:bookmarkStart w:id="122" w:name="_Toc76721812"/>
      <w:r>
        <w:rPr>
          <w:rFonts w:hint="eastAsia" w:hAnsi="楷体_GB2312" w:cs="楷体_GB2312"/>
          <w:b w:val="0"/>
          <w:bCs w:val="0"/>
          <w:color w:val="000000" w:themeColor="text1"/>
          <w:sz w:val="32"/>
          <w14:textFill>
            <w14:solidFill>
              <w14:schemeClr w14:val="tx1"/>
            </w14:solidFill>
          </w14:textFill>
        </w:rPr>
        <w:t>（六）提升应急管理依法治理水平</w:t>
      </w:r>
      <w:bookmarkEnd w:id="119"/>
      <w:bookmarkEnd w:id="120"/>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严格执行国家、省、市有关应急管理法律法规和规章制度，加强应急管理综合执法队伍建设，落实行政执法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三项制度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，深化“放管服”改革，提升应急管理依法治理水平。</w:t>
      </w:r>
    </w:p>
    <w:p>
      <w:pPr>
        <w:pStyle w:val="5"/>
        <w:spacing w:before="20" w:after="20"/>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123" w:name="_Toc69464573"/>
      <w:bookmarkStart w:id="124" w:name="_Toc97928647"/>
      <w:bookmarkStart w:id="125" w:name="_Toc136873757"/>
      <w:r>
        <w:rPr>
          <w:rFonts w:hint="eastAsia" w:ascii="仿宋_GB2312" w:hAnsi="仿宋_GB2312" w:eastAsia="仿宋_GB2312" w:cs="仿宋_GB2312"/>
          <w:b w:val="0"/>
          <w:bCs w:val="0"/>
          <w:color w:val="000000" w:themeColor="text1"/>
          <w:sz w:val="32"/>
          <w14:textFill>
            <w14:solidFill>
              <w14:schemeClr w14:val="tx1"/>
            </w14:solidFill>
          </w14:textFill>
        </w:rPr>
        <w:t>1.</w:t>
      </w:r>
      <w:bookmarkEnd w:id="123"/>
      <w:bookmarkEnd w:id="124"/>
      <w:r>
        <w:rPr>
          <w:rFonts w:hint="eastAsia" w:ascii="仿宋_GB2312" w:hAnsi="仿宋_GB2312" w:eastAsia="仿宋_GB2312" w:cs="仿宋_GB2312"/>
          <w:b w:val="0"/>
          <w:bCs w:val="0"/>
          <w:color w:val="000000" w:themeColor="text1"/>
          <w:sz w:val="32"/>
          <w14:textFill>
            <w14:solidFill>
              <w14:schemeClr w14:val="tx1"/>
            </w14:solidFill>
          </w14:textFill>
        </w:rPr>
        <w:t>加强应急管理综合执法队伍建设</w:t>
      </w:r>
      <w:bookmarkEnd w:id="125"/>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健全监管执法体系，细化完善执法事项，明确执法依据，合理划分执法权责，实施分级分类执法。整合安全生产、地质灾害、防震减灾、水旱灾害、森林火灾等行政监管职能，组建应急管理综合行政执法队伍。按照国家、省、市相关建设标准, 统一个体防护、执法保障、执法过程、测量侦检等通用装备以及行业专用装备配备，完善执法人员配置、执法车辆配备，改善现场执法、远程监察、事故调查的工作条件。大力推进执法信息化建设，推进“互联网+执法”工作，探索“清单制+执法”，提升执法效能。加强应急管理执法检查</w:t>
      </w:r>
      <w:r>
        <w:rPr>
          <w:rFonts w:hint="eastAsia" w:ascii="仿宋_GB2312" w:hAnsi="仿宋_GB2312" w:eastAsia="仿宋_GB2312" w:cs="仿宋_GB2312"/>
          <w:color w:val="000000" w:themeColor="text1"/>
          <w:sz w:val="32"/>
          <w:szCs w:val="32"/>
          <w14:textFill>
            <w14:solidFill>
              <w14:schemeClr w14:val="tx1"/>
            </w14:solidFill>
          </w14:textFill>
        </w:rPr>
        <w:drawing>
          <wp:inline distT="0" distB="0" distL="0" distR="0">
            <wp:extent cx="2540" cy="2540"/>
            <wp:effectExtent l="0" t="0" r="0" b="0"/>
            <wp:docPr id="31741" name="Picture 31741"/>
            <wp:cNvGraphicFramePr/>
            <a:graphic xmlns:a="http://schemas.openxmlformats.org/drawingml/2006/main">
              <a:graphicData uri="http://schemas.openxmlformats.org/drawingml/2006/picture">
                <pic:pic xmlns:pic="http://schemas.openxmlformats.org/drawingml/2006/picture">
                  <pic:nvPicPr>
                    <pic:cNvPr id="31741" name="Picture 31741"/>
                    <pic:cNvPicPr/>
                  </pic:nvPicPr>
                  <pic:blipFill>
                    <a:blip r:embed="rId6"/>
                    <a:stretch>
                      <a:fillRect/>
                    </a:stretch>
                  </pic:blipFill>
                  <pic:spPr>
                    <a:xfrm>
                      <a:off x="0" y="0"/>
                      <a:ext cx="3049" cy="3049"/>
                    </a:xfrm>
                    <a:prstGeom prst="rect">
                      <a:avLst/>
                    </a:prstGeom>
                  </pic:spPr>
                </pic:pic>
              </a:graphicData>
            </a:graphic>
          </wp:inline>
        </w:drawing>
      </w:r>
      <w:r>
        <w:rPr>
          <w:rFonts w:hint="eastAsia" w:ascii="仿宋_GB2312" w:hAnsi="仿宋_GB2312" w:eastAsia="仿宋_GB2312" w:cs="仿宋_GB2312"/>
          <w:color w:val="000000" w:themeColor="text1"/>
          <w:sz w:val="32"/>
          <w:szCs w:val="32"/>
          <w14:textFill>
            <w14:solidFill>
              <w14:schemeClr w14:val="tx1"/>
            </w14:solidFill>
          </w14:textFill>
        </w:rPr>
        <w:t>跨部门协同配合，建立完善联合执法机制，增强执法合力。进一步加强执法能力建设，加大执法人员培训力度，全力打造政治过硬、业务精通、作风优良的应急管理综合执法队伍。</w:t>
      </w:r>
    </w:p>
    <w:p>
      <w:pPr>
        <w:pStyle w:val="5"/>
        <w:spacing w:before="20" w:after="20"/>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126" w:name="_Toc97928648"/>
      <w:bookmarkStart w:id="127" w:name="_Toc69464574"/>
      <w:bookmarkStart w:id="128" w:name="_Toc136873758"/>
      <w:r>
        <w:rPr>
          <w:rFonts w:hint="eastAsia" w:ascii="仿宋_GB2312" w:hAnsi="仿宋_GB2312" w:eastAsia="仿宋_GB2312" w:cs="仿宋_GB2312"/>
          <w:b w:val="0"/>
          <w:bCs w:val="0"/>
          <w:color w:val="000000" w:themeColor="text1"/>
          <w:sz w:val="32"/>
          <w14:textFill>
            <w14:solidFill>
              <w14:schemeClr w14:val="tx1"/>
            </w14:solidFill>
          </w14:textFill>
        </w:rPr>
        <w:t>2.强化行政执法监督</w:t>
      </w:r>
      <w:bookmarkEnd w:id="126"/>
      <w:bookmarkEnd w:id="127"/>
      <w:bookmarkEnd w:id="128"/>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全面落实行政执法公示、执法全过程记录、重大执法决定法制审核三项制度。开展有针对性的专项执法监督，常态化组织行政执法案卷评查，定期开展执法情况分析通报。完善行政执法“双随机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一公开”和“部门联合双随机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一公开”抽查工作机制。强化重大行政案件集体审理,落实重大行政处罚、行政强制案件备案制度，监督落实安全生产行政执法与刑事司法有效衔接，依法严惩安全生产违法犯罪行为。</w:t>
      </w:r>
    </w:p>
    <w:p>
      <w:pPr>
        <w:pStyle w:val="5"/>
        <w:spacing w:before="20" w:after="20"/>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129" w:name="_Toc97928649"/>
      <w:bookmarkStart w:id="130" w:name="_Toc69464575"/>
      <w:bookmarkStart w:id="131" w:name="_Toc136873759"/>
      <w:r>
        <w:rPr>
          <w:rFonts w:hint="eastAsia" w:ascii="仿宋_GB2312" w:hAnsi="仿宋_GB2312" w:eastAsia="仿宋_GB2312" w:cs="仿宋_GB2312"/>
          <w:b w:val="0"/>
          <w:bCs w:val="0"/>
          <w:color w:val="000000" w:themeColor="text1"/>
          <w:sz w:val="32"/>
          <w14:textFill>
            <w14:solidFill>
              <w14:schemeClr w14:val="tx1"/>
            </w14:solidFill>
          </w14:textFill>
        </w:rPr>
        <w:t>3.健全完善行政审批制度</w:t>
      </w:r>
      <w:bookmarkEnd w:id="129"/>
      <w:bookmarkEnd w:id="130"/>
      <w:bookmarkEnd w:id="131"/>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优化应急管理行政审批办事流程，压缩办理时限，切实提高办事效率，持续深化“放管服”改革，推进行政审批服务便民化。落实政务服务事项“三集中、三到位”“一窗受理”等工作方案，规范行政审批行为。依托四川省一体化政务服务平台，全面推行行政审批事项“一网通办”，提高政务服务信息化水平。履行全网通办，“最多跑一次”服务承诺，确保应急管理行政审批事项各项指标在全县政务事项考核中保持前列。</w:t>
      </w:r>
    </w:p>
    <w:bookmarkEnd w:id="121"/>
    <w:bookmarkEnd w:id="122"/>
    <w:p>
      <w:pPr>
        <w:pStyle w:val="4"/>
        <w:ind w:firstLine="640"/>
        <w:rPr>
          <w:rFonts w:hAnsi="楷体_GB2312" w:cs="楷体_GB2312"/>
          <w:b w:val="0"/>
          <w:bCs w:val="0"/>
          <w:color w:val="000000" w:themeColor="text1"/>
          <w:sz w:val="32"/>
          <w14:textFill>
            <w14:solidFill>
              <w14:schemeClr w14:val="tx1"/>
            </w14:solidFill>
          </w14:textFill>
        </w:rPr>
      </w:pPr>
      <w:bookmarkStart w:id="132" w:name="_Toc136873760"/>
      <w:bookmarkStart w:id="133" w:name="_Toc97928650"/>
      <w:bookmarkStart w:id="134" w:name="_Toc76721817"/>
      <w:bookmarkStart w:id="135" w:name="_Toc69464581"/>
      <w:r>
        <w:rPr>
          <w:rFonts w:hint="eastAsia" w:hAnsi="楷体_GB2312" w:cs="楷体_GB2312"/>
          <w:b w:val="0"/>
          <w:bCs w:val="0"/>
          <w:color w:val="000000" w:themeColor="text1"/>
          <w:sz w:val="32"/>
          <w14:textFill>
            <w14:solidFill>
              <w14:schemeClr w14:val="tx1"/>
            </w14:solidFill>
          </w14:textFill>
        </w:rPr>
        <w:t>（七）提高应急管理信息化水平</w:t>
      </w:r>
      <w:bookmarkEnd w:id="132"/>
      <w:bookmarkEnd w:id="133"/>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以信息化推进应急管理现代化，提高监测预警、指挥决策、救援实战、监管执法和社会动员能力。</w:t>
      </w:r>
    </w:p>
    <w:p>
      <w:pPr>
        <w:pStyle w:val="5"/>
        <w:spacing w:before="20" w:after="20"/>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136" w:name="_Toc136873761"/>
      <w:bookmarkStart w:id="137" w:name="_Toc97928651"/>
      <w:bookmarkStart w:id="138" w:name="_Toc69464577"/>
      <w:r>
        <w:rPr>
          <w:rFonts w:hint="eastAsia" w:ascii="仿宋_GB2312" w:hAnsi="仿宋_GB2312" w:eastAsia="仿宋_GB2312" w:cs="仿宋_GB2312"/>
          <w:b w:val="0"/>
          <w:bCs w:val="0"/>
          <w:color w:val="000000" w:themeColor="text1"/>
          <w:sz w:val="32"/>
          <w14:textFill>
            <w14:solidFill>
              <w14:schemeClr w14:val="tx1"/>
            </w14:solidFill>
          </w14:textFill>
        </w:rPr>
        <w:t>1.加快应急指挥平台建设</w:t>
      </w:r>
      <w:bookmarkEnd w:id="136"/>
      <w:bookmarkEnd w:id="137"/>
      <w:bookmarkEnd w:id="138"/>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以井研县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应急指挥</w:t>
      </w:r>
      <w:r>
        <w:rPr>
          <w:rFonts w:hint="eastAsia" w:ascii="仿宋_GB2312" w:hAnsi="仿宋_GB2312" w:eastAsia="仿宋_GB2312" w:cs="仿宋_GB2312"/>
          <w:color w:val="000000" w:themeColor="text1"/>
          <w:sz w:val="32"/>
          <w:szCs w:val="32"/>
          <w14:textFill>
            <w14:solidFill>
              <w14:schemeClr w14:val="tx1"/>
            </w14:solidFill>
          </w14:textFill>
        </w:rPr>
        <w:t>中心为依托，建成“县-镇”两级纵向贯通、部门横向衔接的应急指挥平台。完成县级业务数据与管理数据接入等工作，汇聚接入全县各类自然灾害和安全事故风险监测预警信息，提供一站式访问服务，实现数据可视化展现。对接融合乐山市“1+3+N”信息互联互通平台，构建协同联动、全域覆盖的监测预警网络。推动各类应急平台数据的交换、共享和整合，形成智能化的应急信息化网络体系。提升以大数据应用为基础的风险识别与监测预警、信息收集与灾情统计、趋势分析与综合研判、指挥调度与辅助决策、情景模拟与总结评估等技术支撑能力。建设县级数据治理、数据安全、应用安全、终端安全、可视化运维感知网安全防护等子系统。在自然灾害预防中开展卫星遥感影像数据网格化、结构化处理工作，实现快速检索相关数据。在林火视频识别、雪亮工程、交通安全等现有城市视频监控应用系统的基础上，利用数据网格化，开展城市监控多源视频数据空间精细化管理示范项目。</w:t>
      </w:r>
    </w:p>
    <w:p>
      <w:pPr>
        <w:pStyle w:val="5"/>
        <w:spacing w:before="20" w:after="20"/>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139" w:name="_Toc69464579"/>
      <w:bookmarkStart w:id="140" w:name="_Toc97928652"/>
      <w:bookmarkStart w:id="141" w:name="_Toc136873762"/>
      <w:r>
        <w:rPr>
          <w:rFonts w:hint="eastAsia" w:ascii="仿宋_GB2312" w:hAnsi="仿宋_GB2312" w:eastAsia="仿宋_GB2312" w:cs="仿宋_GB2312"/>
          <w:b w:val="0"/>
          <w:bCs w:val="0"/>
          <w:color w:val="000000" w:themeColor="text1"/>
          <w:sz w:val="32"/>
          <w14:textFill>
            <w14:solidFill>
              <w14:schemeClr w14:val="tx1"/>
            </w14:solidFill>
          </w14:textFill>
        </w:rPr>
        <w:t>2.提升应急通讯保障能力</w:t>
      </w:r>
      <w:bookmarkEnd w:id="139"/>
      <w:bookmarkEnd w:id="140"/>
      <w:bookmarkEnd w:id="141"/>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结合井研县实际，开展应急通信装备建设和专业通信保障队伍建设，保障应急救援现场通信全天候、全地域、全时段畅通。</w:t>
      </w:r>
      <w:bookmarkStart w:id="142" w:name="_Hlk86046624"/>
      <w:r>
        <w:rPr>
          <w:rFonts w:hint="eastAsia" w:ascii="仿宋_GB2312" w:hAnsi="仿宋_GB2312" w:eastAsia="仿宋_GB2312" w:cs="仿宋_GB2312"/>
          <w:color w:val="000000" w:themeColor="text1"/>
          <w:sz w:val="32"/>
          <w:szCs w:val="32"/>
          <w14:textFill>
            <w14:solidFill>
              <w14:schemeClr w14:val="tx1"/>
            </w14:solidFill>
          </w14:textFill>
        </w:rPr>
        <w:t>配合乐山市建设应急管理卫星通信网，融合甚小口径终端站（VSAT）卫星系统和天通卫星系统，实现特殊场景下远距离通信和数据传输。建设“公网专用、固移结合”的应急指挥无线通信网，整合指挥信息网、公共通信网和低功耗广域网，统一应急救援处置现场各指挥部的通讯频段。</w:t>
      </w:r>
      <w:bookmarkEnd w:id="142"/>
      <w:r>
        <w:rPr>
          <w:rFonts w:hint="eastAsia" w:ascii="仿宋_GB2312" w:hAnsi="仿宋_GB2312" w:eastAsia="仿宋_GB2312" w:cs="仿宋_GB2312"/>
          <w:color w:val="000000" w:themeColor="text1"/>
          <w:sz w:val="32"/>
          <w:szCs w:val="32"/>
          <w14:textFill>
            <w14:solidFill>
              <w14:schemeClr w14:val="tx1"/>
            </w14:solidFill>
          </w14:textFill>
        </w:rPr>
        <w:t>逐步配备卫星电话、背负式宽带融合通信指挥系统、自组网背负台、公网/数字集群通信终端、单兵图传等装备，为现场救援队伍内部、现场与各级指挥中心之间的语音、数据、图像、视频传输提供有效通信支撑。加强灾害多发易发地区和乡村区域公众通信网络防灾抗毁能力建设。</w:t>
      </w:r>
    </w:p>
    <w:bookmarkEnd w:id="134"/>
    <w:bookmarkEnd w:id="135"/>
    <w:p>
      <w:pPr>
        <w:pStyle w:val="4"/>
        <w:ind w:firstLine="640"/>
        <w:rPr>
          <w:rFonts w:hAnsi="楷体_GB2312" w:cs="楷体_GB2312"/>
          <w:b w:val="0"/>
          <w:bCs w:val="0"/>
          <w:color w:val="000000" w:themeColor="text1"/>
          <w:sz w:val="32"/>
          <w14:textFill>
            <w14:solidFill>
              <w14:schemeClr w14:val="tx1"/>
            </w14:solidFill>
          </w14:textFill>
        </w:rPr>
      </w:pPr>
      <w:bookmarkStart w:id="143" w:name="_Toc97928653"/>
      <w:bookmarkStart w:id="144" w:name="_Toc136873763"/>
      <w:bookmarkStart w:id="145" w:name="_Toc76721823"/>
      <w:bookmarkStart w:id="146" w:name="_Toc69464587"/>
      <w:r>
        <w:rPr>
          <w:rFonts w:hint="eastAsia" w:hAnsi="楷体_GB2312" w:cs="楷体_GB2312"/>
          <w:b w:val="0"/>
          <w:bCs w:val="0"/>
          <w:color w:val="000000" w:themeColor="text1"/>
          <w:sz w:val="32"/>
          <w14:textFill>
            <w14:solidFill>
              <w14:schemeClr w14:val="tx1"/>
            </w14:solidFill>
          </w14:textFill>
        </w:rPr>
        <w:t>（八）提升应急管理群防群治水平</w:t>
      </w:r>
      <w:bookmarkEnd w:id="143"/>
      <w:bookmarkEnd w:id="144"/>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深入开展应急宣传教育、普及应急知识、提升自救互救能力，加强各级各类应急管理人员业务技能培训，积极推动安全发展示范城市创建活动，建立社会协同防范体系，大力提高群防群治水平。</w:t>
      </w:r>
    </w:p>
    <w:p>
      <w:pPr>
        <w:pStyle w:val="5"/>
        <w:spacing w:before="20" w:after="20"/>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147" w:name="_Toc69211261"/>
      <w:bookmarkStart w:id="148" w:name="_Toc69464582"/>
      <w:bookmarkStart w:id="149" w:name="_Toc136873764"/>
      <w:bookmarkStart w:id="150" w:name="_Toc97928654"/>
      <w:r>
        <w:rPr>
          <w:rFonts w:hint="eastAsia" w:ascii="仿宋_GB2312" w:hAnsi="仿宋_GB2312" w:eastAsia="仿宋_GB2312" w:cs="仿宋_GB2312"/>
          <w:b w:val="0"/>
          <w:bCs w:val="0"/>
          <w:color w:val="000000" w:themeColor="text1"/>
          <w:sz w:val="32"/>
          <w14:textFill>
            <w14:solidFill>
              <w14:schemeClr w14:val="tx1"/>
            </w14:solidFill>
          </w14:textFill>
        </w:rPr>
        <w:t>1.开展应急管理宣传</w:t>
      </w:r>
      <w:bookmarkEnd w:id="147"/>
      <w:bookmarkEnd w:id="148"/>
      <w:r>
        <w:rPr>
          <w:rFonts w:hint="eastAsia" w:ascii="仿宋_GB2312" w:hAnsi="仿宋_GB2312" w:eastAsia="仿宋_GB2312" w:cs="仿宋_GB2312"/>
          <w:b w:val="0"/>
          <w:bCs w:val="0"/>
          <w:color w:val="000000" w:themeColor="text1"/>
          <w:sz w:val="32"/>
          <w14:textFill>
            <w14:solidFill>
              <w14:schemeClr w14:val="tx1"/>
            </w14:solidFill>
          </w14:textFill>
        </w:rPr>
        <w:t>与业务培训</w:t>
      </w:r>
      <w:bookmarkEnd w:id="149"/>
      <w:bookmarkEnd w:id="150"/>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国家综合减灾示范社区建设。完善应急科普基础设施，推动建设应急科普宣教场馆和宣教专栏。支持企业建设面向公众的培训演练和自救互救体验馆。推进安全宣传“七进”工作，完善公众安全教育体系。以全国防灾减灾日、全国“安全生产月”等重要宣传节点为契机，多种形式开展知识宣讲、案例解读、应急演练等多种形式的安全科普宣教活动。发挥传统媒体和新媒体的宣传教育作用，利用电视专题宣传片、公开课、微视频、公益广告等，创新安全文化服务方式和手段，打造井研特色应急文化。</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健全完善分层次、分类别、多渠道的培训机制，有计划地开展应急管理知识和业务技能培训工作。建立应急管理培训专家队伍，依托县委党校，面向各级党政干部开展安全生产、应急救援、防灾减灾救灾业务培训，针对具体从事安全生产、应急救援、监察执法、企业管理人员以及基层应急力量开展应急管理业务提升培训。健全完善高危行业安全教育培训体系，推动安全技能培训考核体系建设。 </w:t>
      </w:r>
    </w:p>
    <w:p>
      <w:pPr>
        <w:pStyle w:val="5"/>
        <w:spacing w:before="20" w:after="20"/>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151" w:name="_Toc97928655"/>
      <w:bookmarkStart w:id="152" w:name="_Toc136873765"/>
      <w:r>
        <w:rPr>
          <w:rFonts w:hint="eastAsia" w:ascii="仿宋_GB2312" w:hAnsi="仿宋_GB2312" w:eastAsia="仿宋_GB2312" w:cs="仿宋_GB2312"/>
          <w:b w:val="0"/>
          <w:bCs w:val="0"/>
          <w:color w:val="000000" w:themeColor="text1"/>
          <w:sz w:val="32"/>
          <w14:textFill>
            <w14:solidFill>
              <w14:schemeClr w14:val="tx1"/>
            </w14:solidFill>
          </w14:textFill>
        </w:rPr>
        <w:t>2.加强基层应急管理能力建设</w:t>
      </w:r>
      <w:bookmarkEnd w:id="151"/>
      <w:bookmarkEnd w:id="152"/>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大力推进防汛减灾和森林防灭火“12个100%”落地落实，建立健全基层应急指挥体系，完善预案，加强队伍建设和装备配备，建立预警防范和主动避让机制，强化演练宣传培训，大力提升基层应急管理能力和群众自救互救能力。同时加强企业、村（社区）、学校、医院等基层单位应急演练培训和危险化学品、交通运输、旅游、教育等重点行业从业人员救援能力专业培训，提高基层突发事件先期处置能力。健全完善学校安全教育体系，把安全知识纳入国民教育。将应急管理培训纳入基层干部培训内容，大力提升基层干部的应急管理能力。</w:t>
      </w:r>
    </w:p>
    <w:p>
      <w:pPr>
        <w:pStyle w:val="5"/>
        <w:spacing w:before="20" w:after="20"/>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153" w:name="_Toc69464585"/>
      <w:bookmarkStart w:id="154" w:name="_Toc97928656"/>
      <w:bookmarkStart w:id="155" w:name="_Toc69211263"/>
      <w:bookmarkStart w:id="156" w:name="_Toc136873766"/>
      <w:r>
        <w:rPr>
          <w:rFonts w:hint="eastAsia" w:ascii="仿宋_GB2312" w:hAnsi="仿宋_GB2312" w:eastAsia="仿宋_GB2312" w:cs="仿宋_GB2312"/>
          <w:b w:val="0"/>
          <w:bCs w:val="0"/>
          <w:color w:val="000000" w:themeColor="text1"/>
          <w:sz w:val="32"/>
          <w14:textFill>
            <w14:solidFill>
              <w14:schemeClr w14:val="tx1"/>
            </w14:solidFill>
          </w14:textFill>
        </w:rPr>
        <w:t>3.打造社会协同防范体系</w:t>
      </w:r>
      <w:bookmarkEnd w:id="153"/>
      <w:bookmarkEnd w:id="154"/>
      <w:bookmarkEnd w:id="155"/>
      <w:bookmarkEnd w:id="156"/>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健全防治结合、联防联控、群防群控工作机制，加强社会应急力量动员，引导社会公众积极参与突发事件应对，完善突发事件社会协同防范应对体系。完善市场化应急服务机制，加快建设主体多元、覆盖全面、机制灵活的应急管理社会化服务体系。规范自然灾害防治、安全生产评价第三方机构，完善政府购买服务制度。完善巨灾风险分散机制，强化保险机构灾害事故预防和灾后补偿服务，推行安全生产责任保险、巨灾保险。推动保险机构、第三方机构加强企业安全管理服务，充分发挥保险业在风险管理、灾后救助等方面的积极作用。完善重大事故隐患和安全生产违法行为举报奖励机制，建立安全生产“吹哨人”制度。</w:t>
      </w:r>
    </w:p>
    <w:p>
      <w:pPr>
        <w:pStyle w:val="5"/>
        <w:spacing w:before="20" w:after="20"/>
        <w:ind w:firstLine="640" w:firstLineChars="200"/>
        <w:rPr>
          <w:rFonts w:ascii="仿宋_GB2312" w:hAnsi="仿宋_GB2312" w:eastAsia="仿宋_GB2312" w:cs="仿宋_GB2312"/>
          <w:b w:val="0"/>
          <w:bCs w:val="0"/>
          <w:color w:val="000000" w:themeColor="text1"/>
          <w:sz w:val="32"/>
          <w14:textFill>
            <w14:solidFill>
              <w14:schemeClr w14:val="tx1"/>
            </w14:solidFill>
          </w14:textFill>
        </w:rPr>
      </w:pPr>
      <w:bookmarkStart w:id="157" w:name="_Toc69211264"/>
      <w:bookmarkStart w:id="158" w:name="_Toc97928657"/>
      <w:bookmarkStart w:id="159" w:name="_Toc136873767"/>
      <w:bookmarkStart w:id="160" w:name="_Toc69464586"/>
      <w:r>
        <w:rPr>
          <w:rFonts w:hint="eastAsia" w:ascii="仿宋_GB2312" w:hAnsi="仿宋_GB2312" w:eastAsia="仿宋_GB2312" w:cs="仿宋_GB2312"/>
          <w:b w:val="0"/>
          <w:bCs w:val="0"/>
          <w:color w:val="000000" w:themeColor="text1"/>
          <w:sz w:val="32"/>
          <w14:textFill>
            <w14:solidFill>
              <w14:schemeClr w14:val="tx1"/>
            </w14:solidFill>
          </w14:textFill>
        </w:rPr>
        <w:t>4.</w:t>
      </w:r>
      <w:bookmarkEnd w:id="157"/>
      <w:r>
        <w:rPr>
          <w:rFonts w:hint="eastAsia" w:ascii="仿宋_GB2312" w:hAnsi="仿宋_GB2312" w:eastAsia="仿宋_GB2312" w:cs="仿宋_GB2312"/>
          <w:b w:val="0"/>
          <w:bCs w:val="0"/>
          <w:color w:val="000000" w:themeColor="text1"/>
          <w:sz w:val="32"/>
          <w14:textFill>
            <w14:solidFill>
              <w14:schemeClr w14:val="tx1"/>
            </w14:solidFill>
          </w14:textFill>
        </w:rPr>
        <w:t>推动安全发展示范城市创建</w:t>
      </w:r>
      <w:bookmarkEnd w:id="158"/>
      <w:bookmarkEnd w:id="159"/>
      <w:bookmarkEnd w:id="160"/>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积极推进安全发展示范城市、安全社区和综合减灾示范社区创建工作。将应急管理、安全生产和防灾减灾救灾工作纳入社区重要工作内容，构建应急管理网格化管控体系。</w:t>
      </w:r>
    </w:p>
    <w:p>
      <w:pPr>
        <w:pStyle w:val="3"/>
        <w:rPr>
          <w:color w:val="000000" w:themeColor="text1"/>
          <w:sz w:val="32"/>
          <w:szCs w:val="32"/>
          <w14:textFill>
            <w14:solidFill>
              <w14:schemeClr w14:val="tx1"/>
            </w14:solidFill>
          </w14:textFill>
        </w:rPr>
      </w:pPr>
      <w:bookmarkStart w:id="161" w:name="_Toc136873768"/>
      <w:r>
        <w:rPr>
          <w:rFonts w:hint="eastAsia"/>
          <w:color w:val="000000" w:themeColor="text1"/>
          <w:sz w:val="32"/>
          <w:szCs w:val="32"/>
          <w14:textFill>
            <w14:solidFill>
              <w14:schemeClr w14:val="tx1"/>
            </w14:solidFill>
          </w14:textFill>
        </w:rPr>
        <w:t>四、重点工程</w:t>
      </w:r>
      <w:bookmarkEnd w:id="145"/>
      <w:bookmarkEnd w:id="161"/>
    </w:p>
    <w:p>
      <w:pPr>
        <w:pStyle w:val="4"/>
        <w:ind w:firstLine="640"/>
        <w:rPr>
          <w:rFonts w:hAnsi="楷体_GB2312" w:cs="楷体_GB2312"/>
          <w:b w:val="0"/>
          <w:bCs w:val="0"/>
          <w:color w:val="000000" w:themeColor="text1"/>
          <w:sz w:val="32"/>
          <w14:textFill>
            <w14:solidFill>
              <w14:schemeClr w14:val="tx1"/>
            </w14:solidFill>
          </w14:textFill>
        </w:rPr>
      </w:pPr>
      <w:bookmarkStart w:id="162" w:name="_Toc136873769"/>
      <w:bookmarkStart w:id="163" w:name="_Toc76721824"/>
      <w:r>
        <w:rPr>
          <w:rFonts w:hint="eastAsia" w:hAnsi="楷体_GB2312" w:cs="楷体_GB2312"/>
          <w:b w:val="0"/>
          <w:bCs w:val="0"/>
          <w:color w:val="000000" w:themeColor="text1"/>
          <w:sz w:val="32"/>
          <w14:textFill>
            <w14:solidFill>
              <w14:schemeClr w14:val="tx1"/>
            </w14:solidFill>
          </w14:textFill>
        </w:rPr>
        <w:t>（一）安全风险监测防控工程</w:t>
      </w:r>
      <w:bookmarkEnd w:id="162"/>
      <w:bookmarkEnd w:id="163"/>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建设重点行业（领域）安全风险基础数据库：建立重点行业（领域）企业安全风险和安全隐患数据库，建设安全风险等级和重大事故隐患分布电子图，实现高危企业在线监测率不低于80%，危险化学品生产企业入库登记率100%。</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安全生产监管监察能力提升工程：按照安全监管监察职业能力建设标准，补充、更新安全监管监察装备。健全安全生产行政执法机构，充实行政执法人员，加强镇（街道）、工业园区监管执法机构和监管力量建设，推动执法力量向基层和一线倾斜。开展执法效果评估，强化基层监管人员业务技能培训，提高基层监管工作水平。</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建设遏制危险化学品重特大事故智能感知系统：实施“工业互联网+安全生产”行动计划，依托“北斗+”建设应急监测预警系统和特殊作业监控预警系统，进一步完善重大危险源监控系统，无遗漏接入危险化学品仓库和装卸站台监测监控数据，增强系统智能识别和智能分析功能，实现违规行为、异常情况等风险隐患的智能识别。</w:t>
      </w:r>
    </w:p>
    <w:p>
      <w:pPr>
        <w:pStyle w:val="4"/>
        <w:ind w:firstLine="640"/>
        <w:rPr>
          <w:rFonts w:hAnsi="楷体_GB2312" w:cs="楷体_GB2312"/>
          <w:b w:val="0"/>
          <w:bCs w:val="0"/>
          <w:color w:val="000000" w:themeColor="text1"/>
          <w:sz w:val="32"/>
          <w14:textFill>
            <w14:solidFill>
              <w14:schemeClr w14:val="tx1"/>
            </w14:solidFill>
          </w14:textFill>
        </w:rPr>
      </w:pPr>
      <w:bookmarkStart w:id="164" w:name="_Toc136873770"/>
      <w:bookmarkStart w:id="165" w:name="_Toc76721825"/>
      <w:r>
        <w:rPr>
          <w:rFonts w:hint="eastAsia" w:hAnsi="楷体_GB2312" w:cs="楷体_GB2312"/>
          <w:b w:val="0"/>
          <w:bCs w:val="0"/>
          <w:color w:val="000000" w:themeColor="text1"/>
          <w:sz w:val="32"/>
          <w14:textFill>
            <w14:solidFill>
              <w14:schemeClr w14:val="tx1"/>
            </w14:solidFill>
          </w14:textFill>
        </w:rPr>
        <w:t>（二）防灾减灾能力提升工程</w:t>
      </w:r>
      <w:bookmarkEnd w:id="164"/>
      <w:bookmarkEnd w:id="165"/>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1.自然灾害综合风险普查：完成全县自然灾害综合风险普查。全面获取主要灾害致灾和承灾体、历史灾害等信息，摸清灾害风险隐患底数，开展自然灾害综合风险普查数据成果应用。</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2.应急避难场所标准化建设工程：推进应急避难场所设施标准化建设和升级改造工程建设。</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3.防洪排涝减灾工程：推动主要江河和重点中小河流重要河段的防洪能力逐步达标。系统整治主城区道路排水管网，逐步提升城镇排涝能力，使城乡防洪排涝等抵御自然灾害能力显著提升。</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加强城市重要基础设施安全防护工作：将道路空洞易发高风险区和重大社会影响地段列为重点区域，开展道路空洞病害隐患探测。道路空洞易发高风险区包括大型地下工程施工区周围、排水管网严重结构性缺陷区域、历史塌陷区域、重要关键路口、特殊的不良地质条件区。重大社会影响地段主要是人员密集程度、财产密集程度、社会影响力较高的区域，如党政军办公地段、学校、医院、大型商圈等。</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重点文物单位安全防护工程：推动重点文物保护单位消防系统、安防系统和防雷系统建设，建立文物及文化遗产火灾、消防物联网、安全防盗、雷电监测预警系统，实现对辖区内文物及文化遗产的安全防护智能化升级。</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6.地震监测预警能力提升工程：建设地球物理观测台网，在重点地区规划建设一批地震形变、深井等地球物理观测台网。利用国家在我市建成的地震预警紧急信息服务转发平台，采用“三个一批”，即争取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市支持一批、地方财政投入资金采购一批、重点企事业单位自购一批地震预警接收终端三种方式，逐年在重点部门（单位）以及学校、医院、旅游景区、交通枢纽、大型商场、住宅小区等人员密集场所安装一批地震预警接收终端，建成县域全覆盖地震预警网络，逐步解决地震预警服务“最后一公里”的问题。</w:t>
      </w:r>
    </w:p>
    <w:p>
      <w:pPr>
        <w:pStyle w:val="4"/>
        <w:ind w:firstLine="640"/>
        <w:rPr>
          <w:rFonts w:hAnsi="楷体_GB2312" w:cs="楷体_GB2312"/>
          <w:b w:val="0"/>
          <w:bCs w:val="0"/>
          <w:color w:val="000000" w:themeColor="text1"/>
          <w:sz w:val="32"/>
          <w14:textFill>
            <w14:solidFill>
              <w14:schemeClr w14:val="tx1"/>
            </w14:solidFill>
          </w14:textFill>
        </w:rPr>
      </w:pPr>
      <w:bookmarkStart w:id="166" w:name="_Toc136873771"/>
      <w:bookmarkStart w:id="167" w:name="_Toc76721826"/>
      <w:r>
        <w:rPr>
          <w:rFonts w:hint="eastAsia" w:hAnsi="楷体_GB2312" w:cs="楷体_GB2312"/>
          <w:b w:val="0"/>
          <w:bCs w:val="0"/>
          <w:color w:val="000000" w:themeColor="text1"/>
          <w:sz w:val="32"/>
          <w14:textFill>
            <w14:solidFill>
              <w14:schemeClr w14:val="tx1"/>
            </w14:solidFill>
          </w14:textFill>
        </w:rPr>
        <w:t>（三）应急救援能力提升工程</w:t>
      </w:r>
      <w:bookmarkEnd w:id="166"/>
      <w:bookmarkEnd w:id="167"/>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1.城乡消防站建设工程：优化全县消防站布局，缩短救援作战半径，形成及时响应的城乡消防救援体系。重点推进研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溪新城</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县城城北</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竹园镇、</w:t>
      </w:r>
      <w:r>
        <w:rPr>
          <w:rFonts w:hint="eastAsia" w:ascii="仿宋_GB2312" w:hAnsi="仿宋_GB2312" w:eastAsia="仿宋_GB2312" w:cs="仿宋_GB2312"/>
          <w:color w:val="000000" w:themeColor="text1"/>
          <w:sz w:val="32"/>
          <w:szCs w:val="32"/>
          <w14:textFill>
            <w14:solidFill>
              <w14:schemeClr w14:val="tx1"/>
            </w14:solidFill>
          </w14:textFill>
        </w:rPr>
        <w:t>研经镇消防救援站建设，力争2025年底前全面建成中心镇、片区消防救援站。</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2.完善充实骨干应急救援队伍：依托县消防救援大队现有专业救援队伍，组建县级骨干专业应急救援队伍，包括危化品救援队、抗洪抢险救援突击队、地震突击救援队、山岳救援队等，提升专业救援水平。</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3.应急预案体系建设工程：修订完善井研县突发事件总体应急预案，建立健全防洪应急预案等专项应急预案、生物灾害应急预案部门应急预案，突发事件交通运输保障等应急保障类预案。</w:t>
      </w:r>
    </w:p>
    <w:p>
      <w:pPr>
        <w:pStyle w:val="4"/>
        <w:ind w:firstLine="640"/>
        <w:rPr>
          <w:rFonts w:hAnsi="楷体_GB2312" w:cs="楷体_GB2312"/>
          <w:b w:val="0"/>
          <w:bCs w:val="0"/>
          <w:color w:val="000000" w:themeColor="text1"/>
          <w:sz w:val="32"/>
          <w14:textFill>
            <w14:solidFill>
              <w14:schemeClr w14:val="tx1"/>
            </w14:solidFill>
          </w14:textFill>
        </w:rPr>
      </w:pPr>
      <w:bookmarkStart w:id="168" w:name="_Toc136873772"/>
      <w:bookmarkStart w:id="169" w:name="_Toc76721827"/>
      <w:r>
        <w:rPr>
          <w:rFonts w:hint="eastAsia" w:hAnsi="楷体_GB2312" w:cs="楷体_GB2312"/>
          <w:b w:val="0"/>
          <w:bCs w:val="0"/>
          <w:color w:val="000000" w:themeColor="text1"/>
          <w:sz w:val="32"/>
          <w14:textFill>
            <w14:solidFill>
              <w14:schemeClr w14:val="tx1"/>
            </w14:solidFill>
          </w14:textFill>
        </w:rPr>
        <w:t>（四）应急保障能力提升工程</w:t>
      </w:r>
      <w:bookmarkEnd w:id="168"/>
      <w:bookmarkEnd w:id="169"/>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应急储备物资仓库升级改造工程：根据辖区内防灾救灾实际需要建设完善县级和镇（街道）物资储备库。对县、镇（街道）现有应急抢险物资储备库进行适应性改造升级，完善救灾物资储备库信息平台，配备现代化信息设备。建设村（社区）级救灾物资储备点。</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应急物资保障能力提升工程：建立覆盖全县、镇（街道）、村（社区）、家庭的应急物资储备体系。落实物资储备种类、数量，将各站点应急物资纳入四川省应急能力网络体系。完善管理制度和统筹调配机制，提升应急物资储备综合管理能力。</w:t>
      </w:r>
    </w:p>
    <w:p>
      <w:pPr>
        <w:pStyle w:val="4"/>
        <w:ind w:firstLine="640"/>
        <w:rPr>
          <w:rFonts w:hAnsi="楷体_GB2312" w:cs="楷体_GB2312"/>
          <w:color w:val="000000" w:themeColor="text1"/>
          <w:sz w:val="32"/>
          <w14:textFill>
            <w14:solidFill>
              <w14:schemeClr w14:val="tx1"/>
            </w14:solidFill>
          </w14:textFill>
        </w:rPr>
      </w:pPr>
      <w:bookmarkStart w:id="170" w:name="_Toc136873773"/>
      <w:bookmarkStart w:id="171" w:name="_Toc76721828"/>
      <w:r>
        <w:rPr>
          <w:rFonts w:hint="eastAsia" w:hAnsi="楷体_GB2312" w:cs="楷体_GB2312"/>
          <w:b w:val="0"/>
          <w:bCs w:val="0"/>
          <w:color w:val="000000" w:themeColor="text1"/>
          <w:sz w:val="32"/>
          <w14:textFill>
            <w14:solidFill>
              <w14:schemeClr w14:val="tx1"/>
            </w14:solidFill>
          </w14:textFill>
        </w:rPr>
        <w:t>（五）应急管理信息化建设工程</w:t>
      </w:r>
      <w:bookmarkEnd w:id="170"/>
      <w:bookmarkEnd w:id="171"/>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1.应急管理综合应用平台建设工程：建设井研县智能化应急管理综合应用平台，开展县级应急管理与救援指挥信息化系统建设，整合在用、拟建系统，建设自然灾害综合风险监测预警系统，汇聚接入气象、水文、地震、地质、森林等相关监测资源和基础数据，对接市级平台，构建协同联动、全域覆盖的监测预警网络。 </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应急管理卫星通信网建设工程：建设应急管理卫星通信网，融合VSAT（甚小口径卫星终端站）卫星系统和天通卫星系统，实现特殊场景下远距离通信和数据传输。建设“公网专用、固移结合”的应急指挥无线通信网。整合指挥信息网、公共通信网和低功耗广域网。</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专业领域风险隐患实时监测预警系统建设工程：协调推动交通、林业、住建、水务、气象、自然资源、危险化学品、特种设备等专业领域风险预警与应急处置信息平台，对各类重点风险隐患点位、重大危险源、重点监管工位、重点设施（装置）等进行实时监测。运用物联网、遥感卫星等技术，实时动态监测滑坡地质灾害、河流沿岸洪涝灾害等自然灾害点位，及时发布预警信息。</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应急管理指挥场所及应急救援指挥体系建设工程：完成县应急指挥场所建设。在县、镇（街道）两级层面建设应急救援指挥中心和数据共享平台，形成上下贯通、数据实时共享、部门联动协作的应急调度指挥系统。配备卫星电话、背负式宽带融合通信指挥系统、自组网背负台、公网/数字集群通信终端、单兵图传等装备。</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突发事件预警信息发布系统工程：建设预警信息发布中心与预警信息发布系统，实现与省市平台及县政府、县级相关部门突发公共事件应急指挥平台的无缝对接，整合现有各类发布手段和渠道，实现横向各部门突发事件预警信息的统一收集、及时发布。</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pStyle w:val="3"/>
        <w:rPr>
          <w:color w:val="000000" w:themeColor="text1"/>
          <w:sz w:val="32"/>
          <w:szCs w:val="32"/>
          <w14:textFill>
            <w14:solidFill>
              <w14:schemeClr w14:val="tx1"/>
            </w14:solidFill>
          </w14:textFill>
        </w:rPr>
      </w:pPr>
      <w:bookmarkStart w:id="172" w:name="_Toc76721830"/>
      <w:bookmarkStart w:id="173" w:name="_Toc136873774"/>
      <w:r>
        <w:rPr>
          <w:rFonts w:hint="eastAsia"/>
          <w:color w:val="000000" w:themeColor="text1"/>
          <w:sz w:val="32"/>
          <w:szCs w:val="32"/>
          <w14:textFill>
            <w14:solidFill>
              <w14:schemeClr w14:val="tx1"/>
            </w14:solidFill>
          </w14:textFill>
        </w:rPr>
        <w:t>五、实施保障</w:t>
      </w:r>
      <w:bookmarkEnd w:id="146"/>
      <w:bookmarkEnd w:id="172"/>
      <w:bookmarkEnd w:id="173"/>
    </w:p>
    <w:p>
      <w:pPr>
        <w:pStyle w:val="4"/>
        <w:ind w:firstLine="640"/>
        <w:rPr>
          <w:rFonts w:hAnsi="楷体_GB2312" w:cs="楷体_GB2312"/>
          <w:b w:val="0"/>
          <w:bCs w:val="0"/>
          <w:color w:val="000000" w:themeColor="text1"/>
          <w:sz w:val="32"/>
          <w14:textFill>
            <w14:solidFill>
              <w14:schemeClr w14:val="tx1"/>
            </w14:solidFill>
          </w14:textFill>
        </w:rPr>
      </w:pPr>
      <w:bookmarkStart w:id="174" w:name="_Toc69464588"/>
      <w:bookmarkStart w:id="175" w:name="_Toc136873775"/>
      <w:bookmarkStart w:id="176" w:name="_Toc76721831"/>
      <w:r>
        <w:rPr>
          <w:rFonts w:hint="eastAsia" w:hAnsi="楷体_GB2312" w:cs="楷体_GB2312"/>
          <w:b w:val="0"/>
          <w:bCs w:val="0"/>
          <w:color w:val="000000" w:themeColor="text1"/>
          <w:sz w:val="32"/>
          <w14:textFill>
            <w14:solidFill>
              <w14:schemeClr w14:val="tx1"/>
            </w14:solidFill>
          </w14:textFill>
        </w:rPr>
        <w:t>(一)加强组织领导，统筹协调推进</w:t>
      </w:r>
      <w:bookmarkEnd w:id="174"/>
      <w:bookmarkEnd w:id="175"/>
      <w:bookmarkEnd w:id="176"/>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镇（街道）根据本规划要求，结合属地实际情况制定应急体系专项规划，细化工作分工，落实责任主体，加强规划实施与年度计划的衔接，明确规划各项任务的推进计划、时间节点和阶段目标。强化统筹协调，确保规划实施有序推进，确保重大举措有效落地，确保各项目标如期实现。</w:t>
      </w:r>
    </w:p>
    <w:p>
      <w:pPr>
        <w:pStyle w:val="4"/>
        <w:ind w:firstLine="640"/>
        <w:rPr>
          <w:rFonts w:hAnsi="楷体_GB2312" w:cs="楷体_GB2312"/>
          <w:b w:val="0"/>
          <w:bCs w:val="0"/>
          <w:color w:val="000000" w:themeColor="text1"/>
          <w:sz w:val="32"/>
          <w14:textFill>
            <w14:solidFill>
              <w14:schemeClr w14:val="tx1"/>
            </w14:solidFill>
          </w14:textFill>
        </w:rPr>
      </w:pPr>
      <w:bookmarkStart w:id="177" w:name="_Toc76721832"/>
      <w:bookmarkStart w:id="178" w:name="_Toc69464589"/>
      <w:bookmarkStart w:id="179" w:name="_Toc136873776"/>
      <w:r>
        <w:rPr>
          <w:rFonts w:hint="eastAsia" w:hAnsi="楷体_GB2312" w:cs="楷体_GB2312"/>
          <w:b w:val="0"/>
          <w:bCs w:val="0"/>
          <w:color w:val="000000" w:themeColor="text1"/>
          <w:sz w:val="32"/>
          <w14:textFill>
            <w14:solidFill>
              <w14:schemeClr w14:val="tx1"/>
            </w14:solidFill>
          </w14:textFill>
        </w:rPr>
        <w:t>(二)加大投入力度，提供有力保障</w:t>
      </w:r>
      <w:bookmarkEnd w:id="177"/>
      <w:bookmarkEnd w:id="178"/>
      <w:bookmarkEnd w:id="179"/>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按照财政事权与支出责任相适应的原则，强化资金投入保障，积极争取国家、省级、市级资金支持，落实地方财政资金投入责任，坚持“项目跟着规划走、资金和要素跟着项目走”原则，</w:t>
      </w:r>
      <w:bookmarkStart w:id="180" w:name="_Toc76721833"/>
      <w:bookmarkStart w:id="181" w:name="_Toc69464590"/>
      <w:r>
        <w:rPr>
          <w:rFonts w:hint="eastAsia" w:ascii="仿宋_GB2312" w:hAnsi="仿宋_GB2312" w:eastAsia="仿宋_GB2312" w:cs="仿宋_GB2312"/>
          <w:color w:val="000000" w:themeColor="text1"/>
          <w:sz w:val="32"/>
          <w:szCs w:val="32"/>
          <w14:textFill>
            <w14:solidFill>
              <w14:schemeClr w14:val="tx1"/>
            </w14:solidFill>
          </w14:textFill>
        </w:rPr>
        <w:t>根据规划制定具体项目清单，加强中期财政规划与年度预算、政府投资计划与规划项目衔接、发挥政策导向作用，引导社会投资，形成多元化投入机制，保障规划项目落地落实。</w:t>
      </w:r>
    </w:p>
    <w:p>
      <w:pPr>
        <w:pStyle w:val="4"/>
        <w:ind w:firstLine="640"/>
        <w:rPr>
          <w:rFonts w:hAnsi="楷体_GB2312" w:cs="楷体_GB2312"/>
          <w:b w:val="0"/>
          <w:bCs w:val="0"/>
          <w:color w:val="000000" w:themeColor="text1"/>
          <w:sz w:val="32"/>
          <w14:textFill>
            <w14:solidFill>
              <w14:schemeClr w14:val="tx1"/>
            </w14:solidFill>
          </w14:textFill>
        </w:rPr>
      </w:pPr>
      <w:bookmarkStart w:id="182" w:name="_Toc136873777"/>
      <w:r>
        <w:rPr>
          <w:rFonts w:hint="eastAsia" w:hAnsi="楷体_GB2312" w:cs="楷体_GB2312"/>
          <w:b w:val="0"/>
          <w:bCs w:val="0"/>
          <w:color w:val="000000" w:themeColor="text1"/>
          <w:sz w:val="32"/>
          <w14:textFill>
            <w14:solidFill>
              <w14:schemeClr w14:val="tx1"/>
            </w14:solidFill>
          </w14:textFill>
        </w:rPr>
        <w:t>(三)强化检查评估，确保进度质量</w:t>
      </w:r>
      <w:bookmarkEnd w:id="180"/>
      <w:bookmarkEnd w:id="181"/>
      <w:bookmarkEnd w:id="182"/>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健全规划实施动态评估制度，将规划任务落实情况纳入对部门和镇（街道）工作督查和考核评价的重要内容。开展规划实施年度监测分析、中期评估和总结评估，分析实施进展情况及存在问题，并提出改进措施，推动规划目标任务落实。各级政府要加强对规划实施情况的监督检查。</w:t>
      </w:r>
    </w:p>
    <w:sectPr>
      <w:footerReference r:id="rId4" w:type="default"/>
      <w:pgSz w:w="11906" w:h="16838"/>
      <w:pgMar w:top="2041" w:right="1468" w:bottom="1587" w:left="146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1"/>
                            <w:rPr>
                              <w:sz w:val="30"/>
                              <w:szCs w:val="30"/>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11"/>
                      <w:rPr>
                        <w:sz w:val="30"/>
                        <w:szCs w:val="30"/>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YjllN2VmNzE1ZThhZTJkMmYwZWI1ZTk1NzE2YjYifQ=="/>
  </w:docVars>
  <w:rsids>
    <w:rsidRoot w:val="59FF657E"/>
    <w:rsid w:val="000026F7"/>
    <w:rsid w:val="00003436"/>
    <w:rsid w:val="00030545"/>
    <w:rsid w:val="00073774"/>
    <w:rsid w:val="00093DDC"/>
    <w:rsid w:val="000A0E17"/>
    <w:rsid w:val="000D1EDF"/>
    <w:rsid w:val="000D425A"/>
    <w:rsid w:val="000E1066"/>
    <w:rsid w:val="000E57A4"/>
    <w:rsid w:val="000F5027"/>
    <w:rsid w:val="000F70C1"/>
    <w:rsid w:val="00110E83"/>
    <w:rsid w:val="00120337"/>
    <w:rsid w:val="00123BD9"/>
    <w:rsid w:val="00146E0D"/>
    <w:rsid w:val="001C0A79"/>
    <w:rsid w:val="001D6144"/>
    <w:rsid w:val="001E54F7"/>
    <w:rsid w:val="001F6F3D"/>
    <w:rsid w:val="00236D06"/>
    <w:rsid w:val="00261A4F"/>
    <w:rsid w:val="00262BD0"/>
    <w:rsid w:val="002762FD"/>
    <w:rsid w:val="002B0F52"/>
    <w:rsid w:val="002B148B"/>
    <w:rsid w:val="002C2BC8"/>
    <w:rsid w:val="002C31E5"/>
    <w:rsid w:val="002E6550"/>
    <w:rsid w:val="002F7D3D"/>
    <w:rsid w:val="0033754F"/>
    <w:rsid w:val="00346B3B"/>
    <w:rsid w:val="003476CB"/>
    <w:rsid w:val="0035435F"/>
    <w:rsid w:val="00360640"/>
    <w:rsid w:val="00371EA4"/>
    <w:rsid w:val="003858B1"/>
    <w:rsid w:val="003950A9"/>
    <w:rsid w:val="003A324E"/>
    <w:rsid w:val="003B4095"/>
    <w:rsid w:val="003B6F75"/>
    <w:rsid w:val="003D0157"/>
    <w:rsid w:val="003E3BCB"/>
    <w:rsid w:val="003F7652"/>
    <w:rsid w:val="00405F1F"/>
    <w:rsid w:val="004219E7"/>
    <w:rsid w:val="00424794"/>
    <w:rsid w:val="0045486A"/>
    <w:rsid w:val="00456A6D"/>
    <w:rsid w:val="004875F4"/>
    <w:rsid w:val="00491281"/>
    <w:rsid w:val="004A279E"/>
    <w:rsid w:val="004C5356"/>
    <w:rsid w:val="004C762F"/>
    <w:rsid w:val="004D00AF"/>
    <w:rsid w:val="004D2739"/>
    <w:rsid w:val="004D7A4B"/>
    <w:rsid w:val="004E069F"/>
    <w:rsid w:val="004E27BD"/>
    <w:rsid w:val="00505698"/>
    <w:rsid w:val="0050735A"/>
    <w:rsid w:val="005226AF"/>
    <w:rsid w:val="0054395E"/>
    <w:rsid w:val="0054421A"/>
    <w:rsid w:val="00560592"/>
    <w:rsid w:val="00581678"/>
    <w:rsid w:val="005845F9"/>
    <w:rsid w:val="00587D2C"/>
    <w:rsid w:val="005D6C4E"/>
    <w:rsid w:val="005E3EAD"/>
    <w:rsid w:val="005E762B"/>
    <w:rsid w:val="00613D45"/>
    <w:rsid w:val="00626A8D"/>
    <w:rsid w:val="00635024"/>
    <w:rsid w:val="00635D0A"/>
    <w:rsid w:val="006406FA"/>
    <w:rsid w:val="0064619A"/>
    <w:rsid w:val="00655B8F"/>
    <w:rsid w:val="00662FE0"/>
    <w:rsid w:val="006656A8"/>
    <w:rsid w:val="006F2BBD"/>
    <w:rsid w:val="006F7D5F"/>
    <w:rsid w:val="00712BAF"/>
    <w:rsid w:val="007135CF"/>
    <w:rsid w:val="00715803"/>
    <w:rsid w:val="007215EF"/>
    <w:rsid w:val="00762794"/>
    <w:rsid w:val="00774870"/>
    <w:rsid w:val="007B16E1"/>
    <w:rsid w:val="007B4406"/>
    <w:rsid w:val="00804E53"/>
    <w:rsid w:val="008107CF"/>
    <w:rsid w:val="008113E2"/>
    <w:rsid w:val="008316B2"/>
    <w:rsid w:val="00834057"/>
    <w:rsid w:val="00835E5A"/>
    <w:rsid w:val="008C1C33"/>
    <w:rsid w:val="008E0E84"/>
    <w:rsid w:val="008E1F40"/>
    <w:rsid w:val="009364E8"/>
    <w:rsid w:val="00957AD7"/>
    <w:rsid w:val="00963627"/>
    <w:rsid w:val="00965632"/>
    <w:rsid w:val="0097553B"/>
    <w:rsid w:val="009856BC"/>
    <w:rsid w:val="0099785A"/>
    <w:rsid w:val="009B5CB9"/>
    <w:rsid w:val="009C7788"/>
    <w:rsid w:val="009D4E9F"/>
    <w:rsid w:val="009F2A4B"/>
    <w:rsid w:val="00A22701"/>
    <w:rsid w:val="00A534DB"/>
    <w:rsid w:val="00A53B5D"/>
    <w:rsid w:val="00A615A6"/>
    <w:rsid w:val="00A62330"/>
    <w:rsid w:val="00A669E5"/>
    <w:rsid w:val="00A72D70"/>
    <w:rsid w:val="00AB22E0"/>
    <w:rsid w:val="00AD2D7F"/>
    <w:rsid w:val="00B20879"/>
    <w:rsid w:val="00B35F98"/>
    <w:rsid w:val="00B41D14"/>
    <w:rsid w:val="00B569EF"/>
    <w:rsid w:val="00B757C5"/>
    <w:rsid w:val="00B92DDD"/>
    <w:rsid w:val="00B95654"/>
    <w:rsid w:val="00BA34DF"/>
    <w:rsid w:val="00BD06CE"/>
    <w:rsid w:val="00C27AFF"/>
    <w:rsid w:val="00C56A59"/>
    <w:rsid w:val="00C62264"/>
    <w:rsid w:val="00C71736"/>
    <w:rsid w:val="00CC4083"/>
    <w:rsid w:val="00CE348E"/>
    <w:rsid w:val="00CE40B5"/>
    <w:rsid w:val="00CF03BD"/>
    <w:rsid w:val="00CF222E"/>
    <w:rsid w:val="00D123A4"/>
    <w:rsid w:val="00D21BB4"/>
    <w:rsid w:val="00D52C6D"/>
    <w:rsid w:val="00DA1BD5"/>
    <w:rsid w:val="00DA58EF"/>
    <w:rsid w:val="00DD6B73"/>
    <w:rsid w:val="00DF1552"/>
    <w:rsid w:val="00E16BF0"/>
    <w:rsid w:val="00E30219"/>
    <w:rsid w:val="00E34CB3"/>
    <w:rsid w:val="00E4349C"/>
    <w:rsid w:val="00E55615"/>
    <w:rsid w:val="00E82BF5"/>
    <w:rsid w:val="00E933C5"/>
    <w:rsid w:val="00EA12B3"/>
    <w:rsid w:val="00EA1D71"/>
    <w:rsid w:val="00EA7CEF"/>
    <w:rsid w:val="00F13B96"/>
    <w:rsid w:val="00F613BF"/>
    <w:rsid w:val="00F870DD"/>
    <w:rsid w:val="00FB46CF"/>
    <w:rsid w:val="00FB502A"/>
    <w:rsid w:val="00FB7E98"/>
    <w:rsid w:val="00FC36E4"/>
    <w:rsid w:val="01CC63BB"/>
    <w:rsid w:val="023362E8"/>
    <w:rsid w:val="03284631"/>
    <w:rsid w:val="05091B87"/>
    <w:rsid w:val="05164D3D"/>
    <w:rsid w:val="052B3536"/>
    <w:rsid w:val="057B0FDE"/>
    <w:rsid w:val="07CF354C"/>
    <w:rsid w:val="082331A9"/>
    <w:rsid w:val="0A733885"/>
    <w:rsid w:val="0FB37344"/>
    <w:rsid w:val="114D0E44"/>
    <w:rsid w:val="11681D49"/>
    <w:rsid w:val="123F1DBA"/>
    <w:rsid w:val="12D93E32"/>
    <w:rsid w:val="15153BA3"/>
    <w:rsid w:val="19791241"/>
    <w:rsid w:val="1A3E64BA"/>
    <w:rsid w:val="1AA14454"/>
    <w:rsid w:val="1ACD7A91"/>
    <w:rsid w:val="1D1D1E20"/>
    <w:rsid w:val="1D256841"/>
    <w:rsid w:val="1DCD313E"/>
    <w:rsid w:val="1F8E02F1"/>
    <w:rsid w:val="1FDB27E7"/>
    <w:rsid w:val="208A4A93"/>
    <w:rsid w:val="22111B88"/>
    <w:rsid w:val="22BB399E"/>
    <w:rsid w:val="24B73264"/>
    <w:rsid w:val="253103AB"/>
    <w:rsid w:val="26BC25D3"/>
    <w:rsid w:val="28EF1FDE"/>
    <w:rsid w:val="29587D93"/>
    <w:rsid w:val="2A186343"/>
    <w:rsid w:val="2EBC196F"/>
    <w:rsid w:val="309E1DB8"/>
    <w:rsid w:val="31712394"/>
    <w:rsid w:val="333B06B8"/>
    <w:rsid w:val="362D4C91"/>
    <w:rsid w:val="38003437"/>
    <w:rsid w:val="3A874115"/>
    <w:rsid w:val="3AA63551"/>
    <w:rsid w:val="3AB35285"/>
    <w:rsid w:val="3DDD6A4E"/>
    <w:rsid w:val="40C41267"/>
    <w:rsid w:val="4243254D"/>
    <w:rsid w:val="424A7A82"/>
    <w:rsid w:val="43E13C8A"/>
    <w:rsid w:val="451E0836"/>
    <w:rsid w:val="453A4D09"/>
    <w:rsid w:val="45F92EB1"/>
    <w:rsid w:val="477028EA"/>
    <w:rsid w:val="49B50835"/>
    <w:rsid w:val="4A344BCC"/>
    <w:rsid w:val="4A7476CC"/>
    <w:rsid w:val="545C0310"/>
    <w:rsid w:val="55EA5EA2"/>
    <w:rsid w:val="55ED6BA0"/>
    <w:rsid w:val="574C5DE7"/>
    <w:rsid w:val="57D27CD9"/>
    <w:rsid w:val="59FF657E"/>
    <w:rsid w:val="5FCA1BC7"/>
    <w:rsid w:val="60777555"/>
    <w:rsid w:val="610F439B"/>
    <w:rsid w:val="63914298"/>
    <w:rsid w:val="63DC138D"/>
    <w:rsid w:val="650E73FD"/>
    <w:rsid w:val="65CD37F9"/>
    <w:rsid w:val="66323AB9"/>
    <w:rsid w:val="677B0BA9"/>
    <w:rsid w:val="69534C83"/>
    <w:rsid w:val="696426A8"/>
    <w:rsid w:val="697742A5"/>
    <w:rsid w:val="6B5B0AB7"/>
    <w:rsid w:val="6D0E7B0D"/>
    <w:rsid w:val="6D672A84"/>
    <w:rsid w:val="6E0E67E6"/>
    <w:rsid w:val="6EA92120"/>
    <w:rsid w:val="6F6B4FDF"/>
    <w:rsid w:val="714B7B6A"/>
    <w:rsid w:val="736F5FC5"/>
    <w:rsid w:val="769913CF"/>
    <w:rsid w:val="76B13D52"/>
    <w:rsid w:val="77C62D5B"/>
    <w:rsid w:val="7A130CB3"/>
    <w:rsid w:val="7A362B27"/>
    <w:rsid w:val="7AD64E46"/>
    <w:rsid w:val="7BFF730D"/>
    <w:rsid w:val="7BFF78E1"/>
    <w:rsid w:val="7C4B12F2"/>
    <w:rsid w:val="7D5B302A"/>
    <w:rsid w:val="7E510061"/>
    <w:rsid w:val="7EDF671C"/>
    <w:rsid w:val="E6FEA4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ind w:firstLine="200"/>
      <w:jc w:val="left"/>
      <w:outlineLvl w:val="0"/>
    </w:pPr>
    <w:rPr>
      <w:rFonts w:eastAsia="黑体"/>
      <w:b/>
      <w:bCs/>
      <w:kern w:val="44"/>
      <w:szCs w:val="44"/>
    </w:rPr>
  </w:style>
  <w:style w:type="paragraph" w:styleId="4">
    <w:name w:val="heading 2"/>
    <w:basedOn w:val="1"/>
    <w:next w:val="1"/>
    <w:unhideWhenUsed/>
    <w:qFormat/>
    <w:uiPriority w:val="9"/>
    <w:pPr>
      <w:keepNext/>
      <w:keepLines/>
      <w:ind w:firstLine="200"/>
      <w:outlineLvl w:val="1"/>
    </w:pPr>
    <w:rPr>
      <w:rFonts w:ascii="楷体_GB2312" w:hAnsi="楷体" w:eastAsia="楷体_GB2312" w:cstheme="majorBidi"/>
      <w:b/>
      <w:bCs/>
      <w:szCs w:val="32"/>
    </w:rPr>
  </w:style>
  <w:style w:type="paragraph" w:styleId="5">
    <w:name w:val="heading 3"/>
    <w:basedOn w:val="1"/>
    <w:next w:val="1"/>
    <w:unhideWhenUsed/>
    <w:qFormat/>
    <w:uiPriority w:val="9"/>
    <w:pPr>
      <w:keepNext/>
      <w:keepLines/>
      <w:spacing w:before="260" w:after="260" w:line="416" w:lineRule="auto"/>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line="480" w:lineRule="auto"/>
      <w:ind w:left="420" w:leftChars="200"/>
    </w:pPr>
  </w:style>
  <w:style w:type="paragraph" w:styleId="6">
    <w:name w:val="Document Map"/>
    <w:basedOn w:val="1"/>
    <w:link w:val="21"/>
    <w:qFormat/>
    <w:uiPriority w:val="0"/>
    <w:rPr>
      <w:rFonts w:ascii="宋体" w:eastAsia="宋体"/>
      <w:sz w:val="18"/>
      <w:szCs w:val="18"/>
    </w:rPr>
  </w:style>
  <w:style w:type="paragraph" w:styleId="7">
    <w:name w:val="annotation text"/>
    <w:basedOn w:val="1"/>
    <w:qFormat/>
    <w:uiPriority w:val="0"/>
    <w:pPr>
      <w:jc w:val="left"/>
    </w:pPr>
  </w:style>
  <w:style w:type="paragraph" w:styleId="8">
    <w:name w:val="Body Text"/>
    <w:basedOn w:val="1"/>
    <w:next w:val="1"/>
    <w:qFormat/>
    <w:uiPriority w:val="0"/>
    <w:rPr>
      <w:rFonts w:ascii="Times New Roman" w:hAnsi="Times New Roman" w:eastAsia="仿宋_GB2312" w:cs="Times New Roman"/>
      <w:sz w:val="32"/>
    </w:rPr>
  </w:style>
  <w:style w:type="paragraph" w:styleId="9">
    <w:name w:val="toc 3"/>
    <w:basedOn w:val="1"/>
    <w:next w:val="1"/>
    <w:qFormat/>
    <w:uiPriority w:val="39"/>
    <w:pPr>
      <w:ind w:left="840" w:leftChars="400"/>
    </w:pPr>
  </w:style>
  <w:style w:type="paragraph" w:styleId="10">
    <w:name w:val="Balloon Text"/>
    <w:basedOn w:val="1"/>
    <w:link w:val="2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nhideWhenUsed/>
    <w:qFormat/>
    <w:uiPriority w:val="39"/>
    <w:pPr>
      <w:widowControl/>
      <w:spacing w:after="100" w:line="259" w:lineRule="auto"/>
      <w:jc w:val="left"/>
    </w:pPr>
    <w:rPr>
      <w:rFonts w:cs="Times New Roman"/>
      <w:kern w:val="0"/>
      <w:sz w:val="22"/>
    </w:rPr>
  </w:style>
  <w:style w:type="paragraph" w:styleId="14">
    <w:name w:val="toc 2"/>
    <w:basedOn w:val="1"/>
    <w:next w:val="1"/>
    <w:unhideWhenUsed/>
    <w:qFormat/>
    <w:uiPriority w:val="39"/>
    <w:pPr>
      <w:ind w:left="420" w:leftChars="200"/>
    </w:pPr>
  </w:style>
  <w:style w:type="paragraph" w:styleId="15">
    <w:name w:val="Normal (Web)"/>
    <w:basedOn w:val="1"/>
    <w:qFormat/>
    <w:uiPriority w:val="0"/>
    <w:pPr>
      <w:spacing w:beforeAutospacing="1" w:afterAutospacing="1"/>
      <w:jc w:val="left"/>
    </w:pPr>
    <w:rPr>
      <w:rFonts w:cs="Times New Roman"/>
      <w:kern w:val="0"/>
      <w:sz w:val="24"/>
    </w:rPr>
  </w:style>
  <w:style w:type="table" w:styleId="17">
    <w:name w:val="Table Grid"/>
    <w:basedOn w:val="1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paragraph" w:customStyle="1" w:styleId="20">
    <w:name w:val="TOC 标题1"/>
    <w:basedOn w:val="3"/>
    <w:next w:val="1"/>
    <w:unhideWhenUsed/>
    <w:qFormat/>
    <w:uiPriority w:val="39"/>
    <w:pPr>
      <w:widowControl/>
      <w:spacing w:before="240" w:line="259" w:lineRule="auto"/>
      <w:outlineLvl w:val="9"/>
    </w:pPr>
    <w:rPr>
      <w:rFonts w:asciiTheme="majorHAnsi" w:hAnsiTheme="majorHAnsi" w:eastAsiaTheme="majorEastAsia" w:cstheme="majorBidi"/>
      <w:b w:val="0"/>
      <w:bCs w:val="0"/>
      <w:color w:val="2E75B6" w:themeColor="accent1" w:themeShade="BF"/>
      <w:kern w:val="0"/>
      <w:szCs w:val="32"/>
    </w:rPr>
  </w:style>
  <w:style w:type="character" w:customStyle="1" w:styleId="21">
    <w:name w:val="文档结构图 Char"/>
    <w:basedOn w:val="18"/>
    <w:link w:val="6"/>
    <w:qFormat/>
    <w:uiPriority w:val="0"/>
    <w:rPr>
      <w:rFonts w:ascii="宋体" w:hAnsiTheme="minorHAnsi" w:cstheme="minorBidi"/>
      <w:kern w:val="2"/>
      <w:sz w:val="18"/>
      <w:szCs w:val="18"/>
    </w:rPr>
  </w:style>
  <w:style w:type="character" w:customStyle="1" w:styleId="22">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23">
    <w:name w:val="TOC Heading"/>
    <w:basedOn w:val="3"/>
    <w:next w:val="1"/>
    <w:semiHidden/>
    <w:unhideWhenUsed/>
    <w:qFormat/>
    <w:uiPriority w:val="39"/>
    <w:pPr>
      <w:widowControl/>
      <w:spacing w:before="480" w:line="276" w:lineRule="auto"/>
      <w:ind w:firstLine="0"/>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37</Pages>
  <Words>17418</Words>
  <Characters>17660</Characters>
  <Lines>162</Lines>
  <Paragraphs>45</Paragraphs>
  <TotalTime>0</TotalTime>
  <ScaleCrop>false</ScaleCrop>
  <LinksUpToDate>false</LinksUpToDate>
  <CharactersWithSpaces>17901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2019-11-20T07:18:00Z</dcterms:created>
  <dc:creator>朵朵小语</dc:creator>
  <cp:lastModifiedBy>FQ</cp:lastModifiedBy>
  <cp:lastPrinted>2023-02-22T01:11:00Z</cp:lastPrinted>
  <dcterms:modified xsi:type="dcterms:W3CDTF">2024-11-11T14:33:14Z</dcterms:modified>
  <cp:revision>446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82C7CCAE0D0B471586C4A74B0B5A8BAA_13</vt:lpwstr>
  </property>
</Properties>
</file>