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4385C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rPr>
        <w:t>《井研县</w:t>
      </w:r>
      <w:r>
        <w:rPr>
          <w:rFonts w:hint="eastAsia" w:ascii="方正小标宋简体" w:hAnsi="方正小标宋简体" w:eastAsia="方正小标宋简体" w:cs="方正小标宋简体"/>
          <w:sz w:val="44"/>
          <w:szCs w:val="44"/>
          <w:lang w:val="en-US" w:eastAsia="zh-CN"/>
        </w:rPr>
        <w:t>研溪新城</w:t>
      </w:r>
      <w:r>
        <w:rPr>
          <w:rFonts w:hint="eastAsia" w:ascii="方正小标宋简体" w:hAnsi="方正小标宋简体" w:eastAsia="方正小标宋简体" w:cs="方正小标宋简体"/>
          <w:sz w:val="44"/>
          <w:szCs w:val="44"/>
        </w:rPr>
        <w:t>国土空间详细规划（征求意见稿）》</w:t>
      </w:r>
      <w:r>
        <w:rPr>
          <w:rFonts w:hint="eastAsia" w:ascii="方正小标宋简体" w:hAnsi="方正小标宋简体" w:eastAsia="方正小标宋简体" w:cs="方正小标宋简体"/>
          <w:sz w:val="44"/>
          <w:szCs w:val="44"/>
          <w:lang w:val="en-US" w:eastAsia="zh-CN"/>
        </w:rPr>
        <w:t>公示说明</w:t>
      </w:r>
    </w:p>
    <w:p w14:paraId="34394DC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小标宋简体" w:hAnsi="方正小标宋简体" w:eastAsia="方正小标宋简体" w:cs="方正小标宋简体"/>
          <w:sz w:val="44"/>
          <w:szCs w:val="44"/>
          <w:lang w:val="en-US" w:eastAsia="zh-CN"/>
        </w:rPr>
      </w:pPr>
    </w:p>
    <w:p w14:paraId="61E88828">
      <w:pPr>
        <w:pStyle w:val="3"/>
        <w:bidi w:val="0"/>
        <w:ind w:left="0" w:leftChars="0" w:firstLine="643" w:firstLineChars="200"/>
        <w:rPr>
          <w:color w:val="auto"/>
        </w:rPr>
      </w:pPr>
      <w:r>
        <w:rPr>
          <w:rFonts w:hint="eastAsia"/>
          <w:color w:val="auto"/>
        </w:rPr>
        <w:t>一、规划范围及规模</w:t>
      </w:r>
    </w:p>
    <w:p w14:paraId="6C67C2DA">
      <w:pPr>
        <w:rPr>
          <w:rFonts w:hint="eastAsia"/>
          <w:color w:val="auto"/>
          <w:lang w:eastAsia="zh-CN"/>
        </w:rPr>
      </w:pPr>
      <w:r>
        <w:rPr>
          <w:rFonts w:hint="eastAsia"/>
          <w:color w:val="auto"/>
          <w:lang w:eastAsia="zh-CN"/>
        </w:rPr>
        <w:t>井研县</w:t>
      </w:r>
      <w:r>
        <w:rPr>
          <w:rFonts w:hint="eastAsia"/>
          <w:color w:val="auto"/>
          <w:lang w:val="en-US" w:eastAsia="zh-CN"/>
        </w:rPr>
        <w:t>研溪新城</w:t>
      </w:r>
      <w:r>
        <w:rPr>
          <w:rFonts w:hint="eastAsia"/>
          <w:color w:val="auto"/>
          <w:lang w:eastAsia="zh-CN"/>
        </w:rPr>
        <w:t>位于井研县中心城区</w:t>
      </w:r>
      <w:r>
        <w:rPr>
          <w:rFonts w:hint="eastAsia"/>
          <w:color w:val="auto"/>
          <w:lang w:val="en-US" w:eastAsia="zh-CN"/>
        </w:rPr>
        <w:t>南</w:t>
      </w:r>
      <w:r>
        <w:rPr>
          <w:rFonts w:hint="eastAsia"/>
          <w:color w:val="auto"/>
          <w:lang w:eastAsia="zh-CN"/>
        </w:rPr>
        <w:t>部，北</w:t>
      </w:r>
      <w:r>
        <w:rPr>
          <w:rFonts w:hint="eastAsia"/>
          <w:color w:val="auto"/>
          <w:lang w:val="en-US" w:eastAsia="zh-CN"/>
        </w:rPr>
        <w:t>接</w:t>
      </w:r>
      <w:r>
        <w:rPr>
          <w:rFonts w:hint="eastAsia"/>
          <w:color w:val="auto"/>
          <w:lang w:eastAsia="zh-CN"/>
        </w:rPr>
        <w:t>井乐大道，西</w:t>
      </w:r>
      <w:r>
        <w:rPr>
          <w:rFonts w:hint="eastAsia"/>
          <w:color w:val="auto"/>
          <w:lang w:val="en-US" w:eastAsia="zh-CN"/>
        </w:rPr>
        <w:t>至</w:t>
      </w:r>
      <w:r>
        <w:rPr>
          <w:rFonts w:hint="eastAsia"/>
          <w:color w:val="auto"/>
          <w:lang w:eastAsia="zh-CN"/>
        </w:rPr>
        <w:t>研溪湿地，</w:t>
      </w:r>
      <w:r>
        <w:rPr>
          <w:rFonts w:hint="eastAsia"/>
          <w:color w:val="auto"/>
          <w:lang w:val="en-US" w:eastAsia="zh-CN"/>
        </w:rPr>
        <w:t>南至张家湾</w:t>
      </w:r>
      <w:r>
        <w:rPr>
          <w:rFonts w:hint="eastAsia"/>
          <w:color w:val="auto"/>
          <w:lang w:eastAsia="zh-CN"/>
        </w:rPr>
        <w:t>，</w:t>
      </w:r>
      <w:r>
        <w:rPr>
          <w:rFonts w:hint="eastAsia"/>
          <w:color w:val="auto"/>
          <w:lang w:val="en-US" w:eastAsia="zh-CN"/>
        </w:rPr>
        <w:t>东至井研站</w:t>
      </w:r>
      <w:r>
        <w:rPr>
          <w:rFonts w:hint="eastAsia"/>
          <w:color w:val="auto"/>
          <w:lang w:eastAsia="zh-CN"/>
        </w:rPr>
        <w:t>，以城镇开发边界围合范围为准。规划范围约</w:t>
      </w:r>
      <w:r>
        <w:rPr>
          <w:rFonts w:hint="eastAsia"/>
          <w:color w:val="auto"/>
          <w:lang w:val="en-US" w:eastAsia="zh-CN"/>
        </w:rPr>
        <w:t>3.85平方千米</w:t>
      </w:r>
      <w:r>
        <w:rPr>
          <w:rFonts w:hint="eastAsia"/>
          <w:color w:val="auto"/>
          <w:lang w:eastAsia="zh-CN"/>
        </w:rPr>
        <w:t>。</w:t>
      </w:r>
      <w:r>
        <w:rPr>
          <w:rFonts w:hint="eastAsia"/>
          <w:color w:val="auto"/>
          <w:lang w:val="en-US" w:eastAsia="zh-CN"/>
        </w:rPr>
        <w:t>规划范围区内居住人口0.85万人，产业人口1.70万人。</w:t>
      </w:r>
    </w:p>
    <w:p w14:paraId="3175F3C5">
      <w:pPr>
        <w:pStyle w:val="3"/>
        <w:bidi w:val="0"/>
        <w:rPr>
          <w:color w:val="auto"/>
        </w:rPr>
      </w:pPr>
      <w:bookmarkStart w:id="0" w:name="_Toc358296559"/>
      <w:r>
        <w:rPr>
          <w:rFonts w:hint="eastAsia"/>
          <w:color w:val="auto"/>
          <w:lang w:eastAsia="zh-CN"/>
        </w:rPr>
        <w:t>二</w:t>
      </w:r>
      <w:r>
        <w:rPr>
          <w:rFonts w:hint="eastAsia"/>
          <w:color w:val="auto"/>
        </w:rPr>
        <w:t>、</w:t>
      </w:r>
      <w:bookmarkEnd w:id="0"/>
      <w:r>
        <w:rPr>
          <w:rFonts w:hint="eastAsia"/>
          <w:color w:val="auto"/>
        </w:rPr>
        <w:t>片区职能</w:t>
      </w:r>
    </w:p>
    <w:p w14:paraId="3A4A89EC">
      <w:pPr>
        <w:rPr>
          <w:color w:val="auto"/>
        </w:rPr>
      </w:pPr>
      <w:r>
        <w:rPr>
          <w:rFonts w:hint="eastAsia"/>
          <w:color w:val="auto"/>
        </w:rPr>
        <w:t>根据</w:t>
      </w:r>
      <w:r>
        <w:rPr>
          <w:rFonts w:hint="eastAsia"/>
          <w:color w:val="auto"/>
          <w:lang w:eastAsia="zh-CN"/>
        </w:rPr>
        <w:t>《井研县国土空间总体规划（2021—2035年）》</w:t>
      </w:r>
      <w:r>
        <w:rPr>
          <w:rFonts w:hint="eastAsia"/>
          <w:color w:val="auto"/>
        </w:rPr>
        <w:t>及规划区发展趋势分析，</w:t>
      </w:r>
      <w:r>
        <w:rPr>
          <w:rFonts w:hint="eastAsia"/>
          <w:color w:val="auto"/>
          <w:lang w:eastAsia="zh-CN"/>
        </w:rPr>
        <w:t>井研县</w:t>
      </w:r>
      <w:r>
        <w:rPr>
          <w:rFonts w:hint="eastAsia"/>
          <w:color w:val="auto"/>
          <w:lang w:val="en-US" w:eastAsia="zh-CN"/>
        </w:rPr>
        <w:t>研溪新城</w:t>
      </w:r>
      <w:r>
        <w:rPr>
          <w:rFonts w:hint="eastAsia"/>
          <w:color w:val="auto"/>
        </w:rPr>
        <w:t>的</w:t>
      </w:r>
      <w:r>
        <w:rPr>
          <w:rFonts w:hint="eastAsia"/>
          <w:color w:val="auto"/>
          <w:lang w:eastAsia="zh-CN"/>
        </w:rPr>
        <w:t>功能定位为</w:t>
      </w:r>
      <w:r>
        <w:rPr>
          <w:rFonts w:hint="eastAsia"/>
          <w:color w:val="auto"/>
        </w:rPr>
        <w:t>：产城景融合发展的品质新城。</w:t>
      </w:r>
    </w:p>
    <w:p w14:paraId="3587DAD3">
      <w:pPr>
        <w:pStyle w:val="3"/>
        <w:bidi w:val="0"/>
        <w:rPr>
          <w:color w:val="auto"/>
        </w:rPr>
      </w:pPr>
      <w:r>
        <w:rPr>
          <w:rFonts w:hint="eastAsia"/>
          <w:color w:val="auto"/>
          <w:lang w:eastAsia="zh-CN"/>
        </w:rPr>
        <w:t>三</w:t>
      </w:r>
      <w:r>
        <w:rPr>
          <w:rFonts w:hint="eastAsia"/>
          <w:color w:val="auto"/>
        </w:rPr>
        <w:t>、总体结构</w:t>
      </w:r>
    </w:p>
    <w:p w14:paraId="28086CB4">
      <w:pPr>
        <w:rPr>
          <w:rFonts w:hint="eastAsia"/>
          <w:color w:val="auto"/>
          <w:lang w:eastAsia="zh-CN"/>
        </w:rPr>
      </w:pPr>
      <w:r>
        <w:rPr>
          <w:rFonts w:hint="eastAsia"/>
          <w:color w:val="auto"/>
        </w:rPr>
        <w:t>落实总体规划开发保护格局，</w:t>
      </w:r>
      <w:r>
        <w:rPr>
          <w:rFonts w:hint="eastAsia"/>
          <w:color w:val="auto"/>
          <w:lang w:val="en-US" w:eastAsia="zh-CN"/>
        </w:rPr>
        <w:t>规划区</w:t>
      </w:r>
      <w:r>
        <w:rPr>
          <w:rFonts w:hint="eastAsia"/>
          <w:color w:val="auto"/>
        </w:rPr>
        <w:t>构建 “两心带动、四带贯穿、六区相融”的空间布局结构。</w:t>
      </w:r>
    </w:p>
    <w:p w14:paraId="42DD5C8D">
      <w:pPr>
        <w:rPr>
          <w:rFonts w:hint="eastAsia"/>
          <w:color w:val="auto"/>
          <w:lang w:eastAsia="zh-CN"/>
        </w:rPr>
      </w:pPr>
      <w:r>
        <w:rPr>
          <w:rFonts w:hint="eastAsia"/>
          <w:color w:val="auto"/>
          <w:lang w:eastAsia="zh-CN"/>
        </w:rPr>
        <w:t>两心：科创产业服务中心、研溪湿地景观核心；</w:t>
      </w:r>
    </w:p>
    <w:p w14:paraId="6CA1448D">
      <w:pPr>
        <w:rPr>
          <w:rFonts w:hint="eastAsia"/>
          <w:color w:val="auto"/>
          <w:lang w:eastAsia="zh-CN"/>
        </w:rPr>
      </w:pPr>
      <w:r>
        <w:rPr>
          <w:rFonts w:hint="eastAsia"/>
          <w:color w:val="auto"/>
          <w:lang w:eastAsia="zh-CN"/>
        </w:rPr>
        <w:t>四带：研溪南路城市形象展示带、幸福大道城市综合发展带、兴盛路城市产城融合发展带、茫溪河生态景观带；</w:t>
      </w:r>
    </w:p>
    <w:p w14:paraId="0247AE8C">
      <w:pPr>
        <w:rPr>
          <w:rFonts w:hint="eastAsia"/>
          <w:color w:val="auto"/>
          <w:lang w:eastAsia="zh-CN"/>
        </w:rPr>
      </w:pPr>
      <w:r>
        <w:rPr>
          <w:rFonts w:hint="eastAsia"/>
          <w:color w:val="auto"/>
          <w:lang w:eastAsia="zh-CN"/>
        </w:rPr>
        <w:t>六区：品质宜居片区、产学研创片区、品质服务片区、工业发展片区、物流仓储片区、战略留白片区。</w:t>
      </w:r>
      <w:bookmarkStart w:id="4" w:name="_GoBack"/>
      <w:bookmarkEnd w:id="4"/>
    </w:p>
    <w:p w14:paraId="10157924">
      <w:pPr>
        <w:pStyle w:val="3"/>
        <w:bidi w:val="0"/>
        <w:rPr>
          <w:rFonts w:hint="eastAsia"/>
          <w:color w:val="auto"/>
          <w:lang w:eastAsia="zh-CN"/>
        </w:rPr>
      </w:pPr>
      <w:r>
        <w:rPr>
          <w:rFonts w:hint="eastAsia"/>
          <w:color w:val="auto"/>
          <w:lang w:eastAsia="zh-CN"/>
        </w:rPr>
        <w:t>四、单元划分</w:t>
      </w:r>
    </w:p>
    <w:p w14:paraId="2A5772FF">
      <w:pPr>
        <w:rPr>
          <w:rFonts w:hint="eastAsia"/>
          <w:color w:val="auto"/>
          <w:lang w:eastAsia="zh-CN"/>
        </w:rPr>
      </w:pPr>
      <w:r>
        <w:rPr>
          <w:rFonts w:hint="eastAsia"/>
          <w:color w:val="auto"/>
          <w:lang w:eastAsia="zh-CN"/>
        </w:rPr>
        <w:t>《井研县国土空间总体规划（2021—2035年）》中将</w:t>
      </w:r>
      <w:r>
        <w:rPr>
          <w:rFonts w:hint="eastAsia"/>
          <w:color w:val="auto"/>
          <w:lang w:val="en-US" w:eastAsia="zh-CN"/>
        </w:rPr>
        <w:t>研溪新城</w:t>
      </w:r>
      <w:r>
        <w:rPr>
          <w:rFonts w:hint="eastAsia"/>
          <w:color w:val="auto"/>
          <w:lang w:eastAsia="zh-CN"/>
        </w:rPr>
        <w:t>划分为</w:t>
      </w:r>
      <w:r>
        <w:rPr>
          <w:rFonts w:hint="eastAsia"/>
          <w:color w:val="auto"/>
          <w:lang w:val="en-US" w:eastAsia="zh-CN"/>
        </w:rPr>
        <w:t>1</w:t>
      </w:r>
      <w:r>
        <w:rPr>
          <w:rFonts w:hint="eastAsia"/>
          <w:color w:val="auto"/>
          <w:lang w:eastAsia="zh-CN"/>
        </w:rPr>
        <w:t>个详规单元。本规划按照有利管理、功能完整、规模适度和边界清晰的单元划分原则，将研溪新城规划为</w:t>
      </w:r>
      <w:r>
        <w:rPr>
          <w:rFonts w:hint="eastAsia"/>
          <w:color w:val="auto"/>
          <w:lang w:val="en-US" w:eastAsia="zh-CN"/>
        </w:rPr>
        <w:t>新区建设</w:t>
      </w:r>
      <w:r>
        <w:rPr>
          <w:rFonts w:hint="eastAsia"/>
          <w:color w:val="auto"/>
          <w:lang w:eastAsia="zh-CN"/>
        </w:rPr>
        <w:t>单元。</w:t>
      </w:r>
    </w:p>
    <w:p w14:paraId="1FD1655E">
      <w:pPr>
        <w:rPr>
          <w:rFonts w:hint="eastAsia"/>
          <w:color w:val="auto"/>
          <w:lang w:eastAsia="zh-CN"/>
        </w:rPr>
      </w:pPr>
      <w:r>
        <w:rPr>
          <w:rFonts w:hint="eastAsia"/>
          <w:color w:val="auto"/>
          <w:lang w:val="en-US" w:eastAsia="zh-CN"/>
        </w:rPr>
        <w:t>新区建设单元强调与北部老城区的统筹协调，以及对研溪湿地的开发利用，重视</w:t>
      </w:r>
      <w:r>
        <w:rPr>
          <w:rFonts w:hint="eastAsia"/>
          <w:color w:val="auto"/>
          <w:lang w:eastAsia="zh-CN"/>
        </w:rPr>
        <w:t>产业规划、交通规划、公共设施规划</w:t>
      </w:r>
      <w:r>
        <w:rPr>
          <w:rFonts w:hint="eastAsia"/>
          <w:color w:val="auto"/>
          <w:lang w:val="en-US" w:eastAsia="zh-CN"/>
        </w:rPr>
        <w:t>等。同时，对未来发展预留空间，</w:t>
      </w:r>
      <w:r>
        <w:rPr>
          <w:rFonts w:hint="eastAsia"/>
          <w:color w:val="auto"/>
          <w:lang w:eastAsia="zh-CN"/>
        </w:rPr>
        <w:t>弱化地块管控，实现刚弹结合。</w:t>
      </w:r>
    </w:p>
    <w:p w14:paraId="4FFA12FC">
      <w:pPr>
        <w:pStyle w:val="3"/>
        <w:bidi w:val="0"/>
        <w:rPr>
          <w:rFonts w:hint="eastAsia"/>
          <w:color w:val="auto"/>
          <w:lang w:eastAsia="zh-CN"/>
        </w:rPr>
      </w:pPr>
      <w:r>
        <w:rPr>
          <w:rFonts w:hint="eastAsia"/>
          <w:color w:val="auto"/>
          <w:lang w:eastAsia="zh-CN"/>
        </w:rPr>
        <w:t>五</w:t>
      </w:r>
      <w:r>
        <w:rPr>
          <w:rFonts w:hint="eastAsia"/>
          <w:color w:val="auto"/>
        </w:rPr>
        <w:t>、</w:t>
      </w:r>
      <w:r>
        <w:rPr>
          <w:rFonts w:hint="eastAsia"/>
          <w:color w:val="auto"/>
          <w:lang w:eastAsia="zh-CN"/>
        </w:rPr>
        <w:t>用地布局规划</w:t>
      </w:r>
    </w:p>
    <w:p w14:paraId="7C378A7D">
      <w:pPr>
        <w:rPr>
          <w:rFonts w:hint="default" w:ascii="仿宋" w:hAnsi="仿宋" w:eastAsia="仿宋" w:cs="仿宋"/>
          <w:b w:val="0"/>
          <w:bCs w:val="0"/>
          <w:color w:val="auto"/>
          <w:sz w:val="32"/>
          <w:szCs w:val="32"/>
          <w:highlight w:val="none"/>
          <w:u w:val="none"/>
          <w:lang w:val="en-US" w:eastAsia="zh-CN"/>
        </w:rPr>
      </w:pPr>
      <w:r>
        <w:rPr>
          <w:rFonts w:hint="eastAsia" w:ascii="仿宋" w:hAnsi="仿宋" w:cs="仿宋"/>
          <w:b w:val="0"/>
          <w:bCs w:val="0"/>
          <w:color w:val="auto"/>
          <w:sz w:val="32"/>
          <w:szCs w:val="32"/>
          <w:highlight w:val="none"/>
          <w:u w:val="none"/>
          <w:lang w:val="en-US" w:eastAsia="zh-CN"/>
        </w:rPr>
        <w:t>1.居住用地</w:t>
      </w:r>
    </w:p>
    <w:p w14:paraId="787DC0AD">
      <w:pPr>
        <w:rPr>
          <w:rFonts w:hint="eastAsia" w:ascii="仿宋" w:hAnsi="仿宋" w:eastAsia="仿宋" w:cs="仿宋"/>
          <w:b w:val="0"/>
          <w:bCs w:val="0"/>
          <w:color w:val="auto"/>
          <w:sz w:val="32"/>
          <w:szCs w:val="32"/>
          <w:highlight w:val="none"/>
          <w:u w:val="none"/>
          <w:lang w:val="en-US" w:eastAsia="zh-CN"/>
        </w:rPr>
      </w:pPr>
      <w:r>
        <w:rPr>
          <w:rFonts w:hint="eastAsia" w:ascii="仿宋" w:hAnsi="仿宋" w:eastAsia="仿宋" w:cs="仿宋"/>
          <w:b w:val="0"/>
          <w:bCs w:val="0"/>
          <w:color w:val="auto"/>
          <w:sz w:val="32"/>
          <w:szCs w:val="32"/>
          <w:highlight w:val="none"/>
          <w:u w:val="none"/>
          <w:lang w:val="en-US" w:eastAsia="zh-CN"/>
        </w:rPr>
        <w:t>按照《城市居住区规划设计标准》（GB50180-2018）和《社区生活圈规划技术指南》（TD/T1062-2021）要求，遵循职住平衡原则，布局二类城镇住宅用地，形成1个5</w:t>
      </w:r>
      <w:r>
        <w:rPr>
          <w:rFonts w:hint="eastAsia" w:ascii="仿宋" w:hAnsi="仿宋" w:cs="仿宋"/>
          <w:b w:val="0"/>
          <w:bCs w:val="0"/>
          <w:color w:val="auto"/>
          <w:sz w:val="32"/>
          <w:szCs w:val="32"/>
          <w:highlight w:val="none"/>
          <w:u w:val="none"/>
          <w:lang w:val="en-US" w:eastAsia="zh-CN"/>
        </w:rPr>
        <w:t>—</w:t>
      </w:r>
      <w:r>
        <w:rPr>
          <w:rFonts w:hint="eastAsia" w:ascii="仿宋" w:hAnsi="仿宋" w:eastAsia="仿宋" w:cs="仿宋"/>
          <w:b w:val="0"/>
          <w:bCs w:val="0"/>
          <w:color w:val="auto"/>
          <w:sz w:val="32"/>
          <w:szCs w:val="32"/>
          <w:highlight w:val="none"/>
          <w:u w:val="none"/>
          <w:lang w:val="en-US" w:eastAsia="zh-CN"/>
        </w:rPr>
        <w:t>10分钟生活圈</w:t>
      </w:r>
      <w:r>
        <w:rPr>
          <w:rFonts w:hint="eastAsia" w:ascii="仿宋" w:hAnsi="仿宋" w:cs="仿宋"/>
          <w:b w:val="0"/>
          <w:bCs w:val="0"/>
          <w:color w:val="auto"/>
          <w:sz w:val="32"/>
          <w:szCs w:val="32"/>
          <w:highlight w:val="none"/>
          <w:u w:val="none"/>
          <w:lang w:val="en-US" w:eastAsia="zh-CN"/>
        </w:rPr>
        <w:t>。</w:t>
      </w:r>
      <w:r>
        <w:rPr>
          <w:rFonts w:hint="eastAsia" w:ascii="仿宋" w:hAnsi="仿宋" w:eastAsia="仿宋" w:cs="仿宋"/>
          <w:b w:val="0"/>
          <w:bCs w:val="0"/>
          <w:color w:val="auto"/>
          <w:sz w:val="32"/>
          <w:szCs w:val="32"/>
          <w:highlight w:val="none"/>
          <w:u w:val="none"/>
          <w:lang w:val="en-US" w:eastAsia="zh-CN"/>
        </w:rPr>
        <w:t>规划</w:t>
      </w:r>
      <w:r>
        <w:rPr>
          <w:rFonts w:hint="eastAsia" w:ascii="仿宋" w:hAnsi="仿宋" w:cs="仿宋"/>
          <w:b w:val="0"/>
          <w:bCs w:val="0"/>
          <w:color w:val="auto"/>
          <w:sz w:val="32"/>
          <w:szCs w:val="32"/>
          <w:highlight w:val="none"/>
          <w:u w:val="none"/>
          <w:lang w:val="en-US" w:eastAsia="zh-CN"/>
        </w:rPr>
        <w:t>非独立占地的</w:t>
      </w:r>
      <w:r>
        <w:rPr>
          <w:rFonts w:hint="eastAsia" w:ascii="仿宋" w:hAnsi="仿宋" w:eastAsia="仿宋" w:cs="仿宋"/>
          <w:b w:val="0"/>
          <w:bCs w:val="0"/>
          <w:color w:val="auto"/>
          <w:sz w:val="32"/>
          <w:szCs w:val="32"/>
          <w:highlight w:val="none"/>
          <w:u w:val="none"/>
          <w:lang w:val="en-US" w:eastAsia="zh-CN"/>
        </w:rPr>
        <w:t>社区服务中心1处，包含社区卫生服务、托儿所、老年人日间照料中心以及社区文化体育等设施。</w:t>
      </w:r>
    </w:p>
    <w:p w14:paraId="31AA1B8F">
      <w:pPr>
        <w:rPr>
          <w:rFonts w:hint="eastAsia" w:ascii="仿宋" w:hAnsi="仿宋" w:cs="仿宋"/>
          <w:b w:val="0"/>
          <w:bCs w:val="0"/>
          <w:color w:val="auto"/>
          <w:sz w:val="32"/>
          <w:szCs w:val="32"/>
          <w:highlight w:val="none"/>
          <w:u w:val="none"/>
          <w:lang w:val="en-US" w:eastAsia="zh-CN"/>
        </w:rPr>
      </w:pPr>
      <w:r>
        <w:rPr>
          <w:rFonts w:hint="eastAsia" w:ascii="仿宋" w:hAnsi="仿宋" w:cs="仿宋"/>
          <w:b w:val="0"/>
          <w:bCs w:val="0"/>
          <w:color w:val="auto"/>
          <w:sz w:val="32"/>
          <w:szCs w:val="32"/>
          <w:highlight w:val="none"/>
          <w:u w:val="none"/>
          <w:lang w:val="en-US" w:eastAsia="zh-CN"/>
        </w:rPr>
        <w:t>2.公共管理与公共服务用地</w:t>
      </w:r>
    </w:p>
    <w:p w14:paraId="06D58EE0">
      <w:pPr>
        <w:rPr>
          <w:rFonts w:hint="eastAsia" w:ascii="仿宋" w:hAnsi="仿宋" w:cs="仿宋"/>
          <w:b w:val="0"/>
          <w:bCs w:val="0"/>
          <w:color w:val="auto"/>
          <w:sz w:val="32"/>
          <w:szCs w:val="32"/>
          <w:highlight w:val="none"/>
          <w:u w:val="none"/>
          <w:lang w:val="en-US" w:eastAsia="zh-CN"/>
        </w:rPr>
      </w:pPr>
      <w:r>
        <w:rPr>
          <w:rFonts w:hint="eastAsia" w:ascii="仿宋" w:hAnsi="仿宋" w:eastAsia="仿宋" w:cs="仿宋"/>
          <w:b w:val="0"/>
          <w:bCs w:val="0"/>
          <w:color w:val="auto"/>
          <w:sz w:val="32"/>
          <w:szCs w:val="32"/>
          <w:highlight w:val="none"/>
          <w:u w:val="none"/>
          <w:lang w:val="en-US" w:eastAsia="zh-CN"/>
        </w:rPr>
        <w:t>深化细化总体规划确定的机关团体、文化体育、教育科研、医疗卫生和社会福利等公共管理与公共服务用地</w:t>
      </w:r>
      <w:r>
        <w:rPr>
          <w:rFonts w:hint="eastAsia" w:ascii="仿宋" w:hAnsi="仿宋" w:cs="仿宋"/>
          <w:b w:val="0"/>
          <w:bCs w:val="0"/>
          <w:color w:val="auto"/>
          <w:sz w:val="32"/>
          <w:szCs w:val="32"/>
          <w:highlight w:val="none"/>
          <w:u w:val="none"/>
          <w:lang w:val="en-US" w:eastAsia="zh-CN"/>
        </w:rPr>
        <w:t>。规划区保留公共资源交易中心，规划公共实训基地1处，规划工会用房1处。规划职业技术学校1所，规划幼儿园1所。规划区内保留现状井研县人民医院。规划养老院1处，位于井乐大道东段南侧，县人民医院西侧。</w:t>
      </w:r>
    </w:p>
    <w:p w14:paraId="36AE4B30">
      <w:pPr>
        <w:rPr>
          <w:rFonts w:hint="eastAsia" w:ascii="仿宋" w:hAnsi="仿宋" w:cs="仿宋"/>
          <w:b w:val="0"/>
          <w:bCs w:val="0"/>
          <w:color w:val="auto"/>
          <w:sz w:val="32"/>
          <w:szCs w:val="32"/>
          <w:highlight w:val="none"/>
          <w:u w:val="none"/>
          <w:lang w:val="en-US" w:eastAsia="zh-CN"/>
        </w:rPr>
      </w:pPr>
      <w:r>
        <w:rPr>
          <w:rFonts w:hint="eastAsia" w:ascii="仿宋" w:hAnsi="仿宋" w:cs="仿宋"/>
          <w:b w:val="0"/>
          <w:bCs w:val="0"/>
          <w:color w:val="auto"/>
          <w:sz w:val="32"/>
          <w:szCs w:val="32"/>
          <w:highlight w:val="none"/>
          <w:u w:val="none"/>
          <w:lang w:val="en-US" w:eastAsia="zh-CN"/>
        </w:rPr>
        <w:t>3.商业服务业用地</w:t>
      </w:r>
    </w:p>
    <w:p w14:paraId="6414C1F9">
      <w:pPr>
        <w:rPr>
          <w:rFonts w:hint="eastAsia" w:ascii="仿宋" w:hAnsi="仿宋" w:eastAsia="仿宋" w:cs="仿宋"/>
          <w:b w:val="0"/>
          <w:bCs w:val="0"/>
          <w:color w:val="auto"/>
          <w:sz w:val="32"/>
          <w:szCs w:val="32"/>
          <w:highlight w:val="none"/>
          <w:u w:val="none"/>
          <w:lang w:val="en-US" w:eastAsia="zh-CN"/>
        </w:rPr>
      </w:pPr>
      <w:r>
        <w:rPr>
          <w:rFonts w:hint="eastAsia" w:ascii="仿宋" w:hAnsi="仿宋" w:eastAsia="仿宋" w:cs="仿宋"/>
          <w:b w:val="0"/>
          <w:bCs w:val="0"/>
          <w:color w:val="auto"/>
          <w:sz w:val="32"/>
          <w:szCs w:val="32"/>
          <w:highlight w:val="none"/>
          <w:u w:val="none"/>
          <w:lang w:val="en-US" w:eastAsia="zh-CN"/>
        </w:rPr>
        <w:t>商业服务业设施分为两级布置。县级商业服务业设施主要依托井乐大道、幸福大道和研溪湿地集中布置；居住区级商业设施则结合居住功能，以居住和商业混合用地的形式布置于居住区社区生活圈服务半径之内。</w:t>
      </w:r>
    </w:p>
    <w:p w14:paraId="1A67026B">
      <w:pPr>
        <w:rPr>
          <w:rFonts w:hint="eastAsia" w:ascii="仿宋" w:hAnsi="仿宋" w:cs="仿宋"/>
          <w:b w:val="0"/>
          <w:bCs w:val="0"/>
          <w:color w:val="auto"/>
          <w:sz w:val="32"/>
          <w:szCs w:val="32"/>
          <w:highlight w:val="none"/>
          <w:u w:val="none"/>
          <w:lang w:val="en-US" w:eastAsia="zh-CN"/>
        </w:rPr>
      </w:pPr>
      <w:r>
        <w:rPr>
          <w:rFonts w:hint="eastAsia" w:ascii="仿宋" w:hAnsi="仿宋" w:cs="仿宋"/>
          <w:b w:val="0"/>
          <w:bCs w:val="0"/>
          <w:color w:val="auto"/>
          <w:sz w:val="32"/>
          <w:szCs w:val="32"/>
          <w:highlight w:val="none"/>
          <w:u w:val="none"/>
          <w:lang w:val="en-US" w:eastAsia="zh-CN"/>
        </w:rPr>
        <w:t>4.工业和物流仓储用地</w:t>
      </w:r>
    </w:p>
    <w:p w14:paraId="19E43DD3">
      <w:pPr>
        <w:rPr>
          <w:rFonts w:hint="default" w:ascii="仿宋" w:hAnsi="仿宋" w:cs="仿宋"/>
          <w:b w:val="0"/>
          <w:bCs w:val="0"/>
          <w:color w:val="auto"/>
          <w:sz w:val="32"/>
          <w:szCs w:val="32"/>
          <w:highlight w:val="none"/>
          <w:u w:val="none"/>
          <w:lang w:val="en-US" w:eastAsia="zh-CN"/>
        </w:rPr>
      </w:pPr>
      <w:r>
        <w:rPr>
          <w:rFonts w:hint="default" w:ascii="仿宋" w:hAnsi="仿宋" w:cs="仿宋"/>
          <w:b w:val="0"/>
          <w:bCs w:val="0"/>
          <w:color w:val="auto"/>
          <w:sz w:val="32"/>
          <w:szCs w:val="32"/>
          <w:highlight w:val="none"/>
          <w:u w:val="none"/>
          <w:lang w:val="en-US" w:eastAsia="zh-CN"/>
        </w:rPr>
        <w:t>结合</w:t>
      </w:r>
      <w:r>
        <w:rPr>
          <w:rFonts w:hint="eastAsia" w:ascii="仿宋" w:hAnsi="仿宋" w:cs="仿宋"/>
          <w:b w:val="0"/>
          <w:bCs w:val="0"/>
          <w:color w:val="auto"/>
          <w:sz w:val="32"/>
          <w:szCs w:val="32"/>
          <w:highlight w:val="none"/>
          <w:u w:val="none"/>
          <w:lang w:val="en-US" w:eastAsia="zh-CN"/>
        </w:rPr>
        <w:t>国土空间</w:t>
      </w:r>
      <w:r>
        <w:rPr>
          <w:rFonts w:hint="default" w:ascii="仿宋" w:hAnsi="仿宋" w:cs="仿宋"/>
          <w:b w:val="0"/>
          <w:bCs w:val="0"/>
          <w:color w:val="auto"/>
          <w:sz w:val="32"/>
          <w:szCs w:val="32"/>
          <w:highlight w:val="none"/>
          <w:u w:val="none"/>
          <w:lang w:val="en-US" w:eastAsia="zh-CN"/>
        </w:rPr>
        <w:t>总体规划和经开区产业发展规划，工业用地主要依托规划区现状国道G213布置，以二类工业用地为主。推动盘活存量低效工业空间，提高土地利用效率。</w:t>
      </w:r>
    </w:p>
    <w:p w14:paraId="06FA71F7">
      <w:pPr>
        <w:rPr>
          <w:rFonts w:hint="eastAsia" w:ascii="仿宋" w:hAnsi="仿宋" w:cs="仿宋"/>
          <w:b w:val="0"/>
          <w:bCs w:val="0"/>
          <w:color w:val="auto"/>
          <w:sz w:val="32"/>
          <w:szCs w:val="32"/>
          <w:highlight w:val="none"/>
          <w:u w:val="none"/>
          <w:lang w:val="en-US" w:eastAsia="zh-CN"/>
        </w:rPr>
      </w:pPr>
      <w:r>
        <w:rPr>
          <w:rFonts w:hint="default" w:ascii="仿宋" w:hAnsi="仿宋" w:cs="仿宋"/>
          <w:b w:val="0"/>
          <w:bCs w:val="0"/>
          <w:color w:val="auto"/>
          <w:sz w:val="32"/>
          <w:szCs w:val="32"/>
          <w:highlight w:val="none"/>
          <w:u w:val="none"/>
          <w:lang w:val="en-US" w:eastAsia="zh-CN"/>
        </w:rPr>
        <w:t>物流仓储用地主要依托高滩片区铁路货运站设置，储备库用地位于国道G213西侧。</w:t>
      </w:r>
    </w:p>
    <w:p w14:paraId="5EA3C441">
      <w:pPr>
        <w:rPr>
          <w:rFonts w:hint="eastAsia" w:ascii="仿宋" w:hAnsi="仿宋" w:cs="仿宋"/>
          <w:b w:val="0"/>
          <w:bCs w:val="0"/>
          <w:color w:val="auto"/>
          <w:sz w:val="32"/>
          <w:szCs w:val="32"/>
          <w:highlight w:val="none"/>
          <w:u w:val="none"/>
          <w:lang w:val="en-US" w:eastAsia="zh-CN"/>
        </w:rPr>
      </w:pPr>
      <w:r>
        <w:rPr>
          <w:rFonts w:hint="eastAsia" w:ascii="仿宋" w:hAnsi="仿宋" w:cs="仿宋"/>
          <w:b w:val="0"/>
          <w:bCs w:val="0"/>
          <w:color w:val="auto"/>
          <w:sz w:val="32"/>
          <w:szCs w:val="32"/>
          <w:highlight w:val="none"/>
          <w:u w:val="none"/>
          <w:lang w:val="en-US" w:eastAsia="zh-CN"/>
        </w:rPr>
        <w:t>5.混合用地</w:t>
      </w:r>
    </w:p>
    <w:p w14:paraId="5AE7F69E">
      <w:pPr>
        <w:rPr>
          <w:rFonts w:hint="default" w:ascii="仿宋" w:hAnsi="仿宋" w:cs="仿宋"/>
          <w:b w:val="0"/>
          <w:bCs w:val="0"/>
          <w:color w:val="auto"/>
          <w:sz w:val="32"/>
          <w:szCs w:val="32"/>
          <w:highlight w:val="none"/>
          <w:u w:val="none"/>
          <w:lang w:val="en-US" w:eastAsia="zh-CN"/>
        </w:rPr>
      </w:pPr>
      <w:r>
        <w:rPr>
          <w:rFonts w:hint="default" w:ascii="仿宋" w:hAnsi="仿宋" w:cs="仿宋"/>
          <w:b w:val="0"/>
          <w:bCs w:val="0"/>
          <w:color w:val="auto"/>
          <w:sz w:val="32"/>
          <w:szCs w:val="32"/>
          <w:highlight w:val="none"/>
          <w:u w:val="none"/>
          <w:lang w:val="en-US" w:eastAsia="zh-CN"/>
        </w:rPr>
        <w:t>井乐大道东段以南、茫溪河以东规划工业商业混合用地</w:t>
      </w:r>
      <w:r>
        <w:rPr>
          <w:rFonts w:hint="eastAsia" w:ascii="仿宋" w:hAnsi="仿宋" w:cs="仿宋"/>
          <w:b w:val="0"/>
          <w:bCs w:val="0"/>
          <w:color w:val="auto"/>
          <w:sz w:val="32"/>
          <w:szCs w:val="32"/>
          <w:highlight w:val="none"/>
          <w:u w:val="none"/>
          <w:lang w:val="en-US" w:eastAsia="zh-CN"/>
        </w:rPr>
        <w:t>，幸福大道两侧规划办公商业工业混合用地，研溪南路东侧规划居住商业混合用地</w:t>
      </w:r>
      <w:r>
        <w:rPr>
          <w:rFonts w:hint="default" w:ascii="仿宋" w:hAnsi="仿宋" w:cs="仿宋"/>
          <w:b w:val="0"/>
          <w:bCs w:val="0"/>
          <w:color w:val="auto"/>
          <w:sz w:val="32"/>
          <w:szCs w:val="32"/>
          <w:highlight w:val="none"/>
          <w:u w:val="none"/>
          <w:lang w:val="en-US" w:eastAsia="zh-CN"/>
        </w:rPr>
        <w:t>。混合用地中计容建筑面积最大的用地类型为该宗地的主导用途，原则上主导用途的计容建筑面积应大于宗地总计容建筑面积的51%。</w:t>
      </w:r>
    </w:p>
    <w:p w14:paraId="76188EFC">
      <w:pPr>
        <w:rPr>
          <w:rFonts w:hint="default" w:ascii="仿宋" w:hAnsi="仿宋" w:cs="仿宋"/>
          <w:b w:val="0"/>
          <w:bCs w:val="0"/>
          <w:color w:val="auto"/>
          <w:sz w:val="32"/>
          <w:szCs w:val="32"/>
          <w:highlight w:val="none"/>
          <w:u w:val="none"/>
          <w:lang w:val="en-US" w:eastAsia="zh-CN"/>
        </w:rPr>
      </w:pPr>
      <w:r>
        <w:rPr>
          <w:rFonts w:hint="eastAsia" w:ascii="仿宋" w:hAnsi="仿宋" w:cs="仿宋"/>
          <w:b w:val="0"/>
          <w:bCs w:val="0"/>
          <w:color w:val="auto"/>
          <w:sz w:val="32"/>
          <w:szCs w:val="32"/>
          <w:highlight w:val="none"/>
          <w:u w:val="none"/>
          <w:lang w:val="en-US" w:eastAsia="zh-CN"/>
        </w:rPr>
        <w:t>6.留白用地</w:t>
      </w:r>
    </w:p>
    <w:p w14:paraId="7B4E7683">
      <w:pPr>
        <w:rPr>
          <w:rFonts w:hint="default" w:ascii="仿宋" w:hAnsi="仿宋" w:cs="仿宋"/>
          <w:b w:val="0"/>
          <w:bCs w:val="0"/>
          <w:color w:val="auto"/>
          <w:sz w:val="32"/>
          <w:szCs w:val="32"/>
          <w:highlight w:val="none"/>
          <w:u w:val="none"/>
          <w:lang w:val="en-US" w:eastAsia="zh-CN"/>
        </w:rPr>
      </w:pPr>
      <w:r>
        <w:rPr>
          <w:rFonts w:hint="default" w:ascii="仿宋" w:hAnsi="仿宋" w:cs="仿宋"/>
          <w:b w:val="0"/>
          <w:bCs w:val="0"/>
          <w:color w:val="auto"/>
          <w:sz w:val="32"/>
          <w:szCs w:val="32"/>
          <w:highlight w:val="none"/>
          <w:u w:val="none"/>
          <w:lang w:val="en-US" w:eastAsia="zh-CN"/>
        </w:rPr>
        <w:t>留白用地位于规划区西北侧，</w:t>
      </w:r>
      <w:r>
        <w:rPr>
          <w:rFonts w:hint="eastAsia" w:ascii="仿宋" w:hAnsi="仿宋" w:cs="仿宋"/>
          <w:b w:val="0"/>
          <w:bCs w:val="0"/>
          <w:color w:val="auto"/>
          <w:sz w:val="32"/>
          <w:szCs w:val="32"/>
          <w:highlight w:val="none"/>
          <w:u w:val="none"/>
          <w:lang w:val="en-US" w:eastAsia="zh-CN"/>
        </w:rPr>
        <w:t>暂未明确规划用途</w:t>
      </w:r>
      <w:r>
        <w:rPr>
          <w:rFonts w:hint="default" w:ascii="仿宋" w:hAnsi="仿宋" w:cs="仿宋"/>
          <w:b w:val="0"/>
          <w:bCs w:val="0"/>
          <w:color w:val="auto"/>
          <w:sz w:val="32"/>
          <w:szCs w:val="32"/>
          <w:highlight w:val="none"/>
          <w:u w:val="none"/>
          <w:lang w:val="en-US" w:eastAsia="zh-CN"/>
        </w:rPr>
        <w:t>。</w:t>
      </w:r>
    </w:p>
    <w:p w14:paraId="31EC9EAC">
      <w:pPr>
        <w:pStyle w:val="3"/>
        <w:bidi w:val="0"/>
        <w:rPr>
          <w:rFonts w:hint="eastAsia" w:eastAsia="黑体"/>
          <w:color w:val="auto"/>
          <w:lang w:eastAsia="zh-CN"/>
        </w:rPr>
      </w:pPr>
      <w:r>
        <w:rPr>
          <w:rFonts w:hint="eastAsia"/>
          <w:color w:val="auto"/>
          <w:lang w:eastAsia="zh-CN"/>
        </w:rPr>
        <w:t>六、</w:t>
      </w:r>
      <w:r>
        <w:rPr>
          <w:rFonts w:hint="eastAsia"/>
          <w:color w:val="auto"/>
        </w:rPr>
        <w:t>绿地</w:t>
      </w:r>
      <w:r>
        <w:rPr>
          <w:rFonts w:hint="eastAsia"/>
          <w:color w:val="auto"/>
          <w:lang w:eastAsia="zh-CN"/>
        </w:rPr>
        <w:t>和开敞空间</w:t>
      </w:r>
    </w:p>
    <w:p w14:paraId="48DD44B0">
      <w:pPr>
        <w:rPr>
          <w:rFonts w:hint="eastAsia"/>
          <w:color w:val="auto"/>
          <w:lang w:eastAsia="zh-CN"/>
        </w:rPr>
      </w:pPr>
      <w:r>
        <w:rPr>
          <w:rFonts w:hint="eastAsia"/>
          <w:color w:val="auto"/>
        </w:rPr>
        <w:t>规划构建“一</w:t>
      </w:r>
      <w:r>
        <w:rPr>
          <w:rFonts w:hint="eastAsia"/>
          <w:color w:val="auto"/>
          <w:lang w:val="en-US" w:eastAsia="zh-CN"/>
        </w:rPr>
        <w:t>核</w:t>
      </w:r>
      <w:r>
        <w:rPr>
          <w:rFonts w:hint="eastAsia"/>
          <w:color w:val="auto"/>
        </w:rPr>
        <w:t>、</w:t>
      </w:r>
      <w:r>
        <w:rPr>
          <w:rFonts w:hint="eastAsia"/>
          <w:color w:val="auto"/>
          <w:lang w:val="en-US" w:eastAsia="zh-CN"/>
        </w:rPr>
        <w:t>两带</w:t>
      </w:r>
      <w:r>
        <w:rPr>
          <w:rFonts w:hint="eastAsia"/>
          <w:color w:val="auto"/>
        </w:rPr>
        <w:t>、多点”的蓝绿空间结构</w:t>
      </w:r>
      <w:r>
        <w:rPr>
          <w:rFonts w:hint="eastAsia"/>
          <w:color w:val="auto"/>
          <w:lang w:eastAsia="zh-CN"/>
        </w:rPr>
        <w:t>。“一</w:t>
      </w:r>
      <w:r>
        <w:rPr>
          <w:rFonts w:hint="eastAsia"/>
          <w:color w:val="auto"/>
          <w:lang w:val="en-US" w:eastAsia="zh-CN"/>
        </w:rPr>
        <w:t>核</w:t>
      </w:r>
      <w:r>
        <w:rPr>
          <w:rFonts w:hint="eastAsia"/>
          <w:color w:val="auto"/>
          <w:lang w:eastAsia="zh-CN"/>
        </w:rPr>
        <w:t>”指</w:t>
      </w:r>
      <w:r>
        <w:rPr>
          <w:rFonts w:hint="eastAsia"/>
          <w:color w:val="auto"/>
          <w:lang w:val="en-US" w:eastAsia="zh-CN"/>
        </w:rPr>
        <w:t>湿地公园景观核</w:t>
      </w:r>
      <w:r>
        <w:rPr>
          <w:rFonts w:hint="eastAsia"/>
          <w:color w:val="auto"/>
          <w:lang w:eastAsia="zh-CN"/>
        </w:rPr>
        <w:t>，“</w:t>
      </w:r>
      <w:r>
        <w:rPr>
          <w:rFonts w:hint="eastAsia"/>
          <w:color w:val="auto"/>
          <w:lang w:val="en-US" w:eastAsia="zh-CN"/>
        </w:rPr>
        <w:t>两带</w:t>
      </w:r>
      <w:r>
        <w:rPr>
          <w:rFonts w:hint="eastAsia"/>
          <w:color w:val="auto"/>
          <w:lang w:eastAsia="zh-CN"/>
        </w:rPr>
        <w:t>”指</w:t>
      </w:r>
      <w:r>
        <w:rPr>
          <w:rFonts w:hint="eastAsia"/>
          <w:color w:val="auto"/>
          <w:lang w:val="en-US" w:eastAsia="zh-CN"/>
        </w:rPr>
        <w:t>湿地文化景观带</w:t>
      </w:r>
      <w:r>
        <w:rPr>
          <w:rFonts w:hint="eastAsia"/>
          <w:color w:val="auto"/>
          <w:lang w:eastAsia="zh-CN"/>
        </w:rPr>
        <w:t>、</w:t>
      </w:r>
      <w:r>
        <w:rPr>
          <w:rFonts w:hint="eastAsia"/>
          <w:color w:val="auto"/>
          <w:lang w:val="en-US" w:eastAsia="zh-CN"/>
        </w:rPr>
        <w:t>茫溪河生态景观带</w:t>
      </w:r>
      <w:r>
        <w:rPr>
          <w:rFonts w:hint="eastAsia"/>
          <w:color w:val="auto"/>
          <w:lang w:eastAsia="zh-CN"/>
        </w:rPr>
        <w:t>，“多点”指</w:t>
      </w:r>
      <w:r>
        <w:rPr>
          <w:rFonts w:hint="eastAsia"/>
          <w:color w:val="auto"/>
          <w:lang w:val="en-US" w:eastAsia="zh-CN"/>
        </w:rPr>
        <w:t>片</w:t>
      </w:r>
      <w:r>
        <w:rPr>
          <w:rFonts w:hint="eastAsia"/>
          <w:color w:val="auto"/>
          <w:lang w:eastAsia="zh-CN"/>
        </w:rPr>
        <w:t>区内部结合公共设施集中区域，按照一定的服务半径设置的</w:t>
      </w:r>
      <w:r>
        <w:rPr>
          <w:rFonts w:hint="eastAsia"/>
          <w:color w:val="auto"/>
          <w:lang w:val="en-US" w:eastAsia="zh-CN"/>
        </w:rPr>
        <w:t>社区公园和游园</w:t>
      </w:r>
      <w:r>
        <w:rPr>
          <w:rFonts w:hint="eastAsia"/>
          <w:color w:val="auto"/>
          <w:lang w:eastAsia="zh-CN"/>
        </w:rPr>
        <w:t>。</w:t>
      </w:r>
    </w:p>
    <w:p w14:paraId="2063E430">
      <w:pPr>
        <w:rPr>
          <w:rFonts w:hint="eastAsia" w:ascii="仿宋" w:hAnsi="仿宋" w:eastAsia="仿宋" w:cs="仿宋"/>
          <w:b w:val="0"/>
          <w:bCs/>
          <w:color w:val="auto"/>
          <w:sz w:val="32"/>
          <w:szCs w:val="32"/>
          <w:highlight w:val="none"/>
          <w:u w:val="none"/>
          <w:lang w:val="en-US" w:eastAsia="zh-CN"/>
        </w:rPr>
      </w:pPr>
      <w:r>
        <w:rPr>
          <w:rFonts w:hint="eastAsia" w:ascii="仿宋" w:hAnsi="仿宋" w:eastAsia="仿宋" w:cs="仿宋"/>
          <w:b w:val="0"/>
          <w:bCs/>
          <w:color w:val="auto"/>
          <w:sz w:val="32"/>
          <w:szCs w:val="32"/>
          <w:highlight w:val="none"/>
          <w:u w:val="none"/>
          <w:lang w:val="en-US" w:eastAsia="zh-CN"/>
        </w:rPr>
        <w:t>规划区内绿地包括公园绿地、防护绿地和广场等绿地和开敞空间，城市开发建设时不得随意侵占。</w:t>
      </w:r>
    </w:p>
    <w:p w14:paraId="47BC0DBC">
      <w:pPr>
        <w:rPr>
          <w:rFonts w:hint="eastAsia"/>
          <w:color w:val="auto"/>
          <w:lang w:eastAsia="zh-CN"/>
        </w:rPr>
      </w:pPr>
      <w:r>
        <w:rPr>
          <w:rFonts w:hint="eastAsia" w:ascii="仿宋" w:hAnsi="仿宋" w:eastAsia="仿宋" w:cs="仿宋"/>
          <w:b w:val="0"/>
          <w:bCs/>
          <w:color w:val="auto"/>
          <w:sz w:val="32"/>
          <w:szCs w:val="32"/>
          <w:highlight w:val="none"/>
          <w:u w:val="none"/>
          <w:lang w:val="en-US" w:eastAsia="zh-CN"/>
        </w:rPr>
        <w:t>结合河道管理线，加强规划区内茫溪河等主要河道保护，强化雨水调蓄功能，增强河道防洪排涝能力，美化城区景观，改善水环境。规划区茫溪河河道堤岸建设应在满足防洪标高要求的前提下，根据地形和水流流速等情况酌情选择驳岸形式。地形高差较大、流速较快的河段以硬质驳岸为主，防止水流对土层的冲刷；其余河段尽量采用自然驳岸（夯土加木桩、绿化等），利于自然生态保护和滨河人文景观的塑造。</w:t>
      </w:r>
    </w:p>
    <w:p w14:paraId="25D4E5EC">
      <w:pPr>
        <w:pStyle w:val="3"/>
        <w:bidi w:val="0"/>
        <w:rPr>
          <w:color w:val="auto"/>
        </w:rPr>
      </w:pPr>
      <w:r>
        <w:rPr>
          <w:rFonts w:hint="eastAsia"/>
          <w:color w:val="auto"/>
          <w:lang w:eastAsia="zh-CN"/>
        </w:rPr>
        <w:t>七</w:t>
      </w:r>
      <w:r>
        <w:rPr>
          <w:rFonts w:hint="eastAsia"/>
          <w:color w:val="auto"/>
        </w:rPr>
        <w:t>、道路交通</w:t>
      </w:r>
    </w:p>
    <w:p w14:paraId="5EABE717">
      <w:pPr>
        <w:pStyle w:val="4"/>
        <w:bidi w:val="0"/>
        <w:rPr>
          <w:color w:val="auto"/>
        </w:rPr>
      </w:pPr>
      <w:r>
        <w:rPr>
          <w:rFonts w:hint="eastAsia"/>
          <w:color w:val="auto"/>
          <w:lang w:eastAsia="zh-CN"/>
        </w:rPr>
        <w:t>（一）</w:t>
      </w:r>
      <w:r>
        <w:rPr>
          <w:rFonts w:hint="eastAsia"/>
          <w:color w:val="auto"/>
        </w:rPr>
        <w:t>对外交通</w:t>
      </w:r>
    </w:p>
    <w:p w14:paraId="441DF342">
      <w:pPr>
        <w:rPr>
          <w:rFonts w:hint="eastAsia"/>
          <w:color w:val="auto"/>
        </w:rPr>
      </w:pPr>
      <w:r>
        <w:rPr>
          <w:rFonts w:hint="eastAsia"/>
          <w:color w:val="auto"/>
          <w:lang w:eastAsia="zh-CN"/>
        </w:rPr>
        <w:t>研溪新城</w:t>
      </w:r>
      <w:r>
        <w:rPr>
          <w:rFonts w:hint="eastAsia"/>
          <w:color w:val="auto"/>
        </w:rPr>
        <w:t>周边区域性交通有乐资高速连接线、国道G213改线、省道S308、县道X007、X070等，与片区内井乐大道、规划东内环线等城市主干道连接，实现内外交通畅达。未来区域将形成“三高两铁两快一绕”现代交通网络，构建互联互通格局。</w:t>
      </w:r>
    </w:p>
    <w:p w14:paraId="77E01E7A">
      <w:pPr>
        <w:rPr>
          <w:rFonts w:hint="eastAsia"/>
          <w:color w:val="auto"/>
        </w:rPr>
      </w:pPr>
      <w:r>
        <w:rPr>
          <w:rFonts w:hint="eastAsia"/>
          <w:color w:val="auto"/>
        </w:rPr>
        <w:t>“三高”：乐自高速、仁沐新高速、乐资高速；</w:t>
      </w:r>
    </w:p>
    <w:p w14:paraId="47253252">
      <w:pPr>
        <w:rPr>
          <w:rFonts w:hint="eastAsia"/>
          <w:color w:val="auto"/>
        </w:rPr>
      </w:pPr>
      <w:r>
        <w:rPr>
          <w:rFonts w:hint="eastAsia"/>
          <w:color w:val="auto"/>
        </w:rPr>
        <w:t>“两铁”：连乐铁路、渝自（乐）雅城际铁路；</w:t>
      </w:r>
    </w:p>
    <w:p w14:paraId="24942136">
      <w:pPr>
        <w:rPr>
          <w:rFonts w:hint="eastAsia"/>
          <w:color w:val="auto"/>
        </w:rPr>
      </w:pPr>
      <w:r>
        <w:rPr>
          <w:rFonts w:hint="eastAsia"/>
          <w:color w:val="auto"/>
        </w:rPr>
        <w:t>“两快”：乐井快速通道、国道G213井仁快速通道；</w:t>
      </w:r>
    </w:p>
    <w:p w14:paraId="52D6ECED">
      <w:pPr>
        <w:rPr>
          <w:rFonts w:hint="eastAsia"/>
          <w:color w:val="auto"/>
        </w:rPr>
      </w:pPr>
      <w:r>
        <w:rPr>
          <w:rFonts w:hint="eastAsia"/>
          <w:color w:val="auto"/>
        </w:rPr>
        <w:t>“一绕”：综合交通路网，打通连接线，形成绕城环线。</w:t>
      </w:r>
    </w:p>
    <w:p w14:paraId="7A55A3E8">
      <w:pPr>
        <w:rPr>
          <w:rFonts w:hint="eastAsia"/>
          <w:color w:val="auto"/>
        </w:rPr>
      </w:pPr>
      <w:r>
        <w:rPr>
          <w:rFonts w:hint="eastAsia"/>
          <w:color w:val="auto"/>
          <w:lang w:eastAsia="zh-CN"/>
        </w:rPr>
        <w:t>研溪新城</w:t>
      </w:r>
      <w:r>
        <w:rPr>
          <w:rFonts w:hint="eastAsia"/>
          <w:color w:val="auto"/>
        </w:rPr>
        <w:t>对外联系主要依托以下通道：</w:t>
      </w:r>
    </w:p>
    <w:p w14:paraId="34812EA2">
      <w:pPr>
        <w:rPr>
          <w:rFonts w:hint="eastAsia"/>
          <w:color w:val="auto"/>
        </w:rPr>
      </w:pPr>
      <w:r>
        <w:rPr>
          <w:rFonts w:hint="eastAsia"/>
          <w:color w:val="auto"/>
          <w:lang w:val="en-US" w:eastAsia="zh-CN"/>
        </w:rPr>
        <w:t>东西向</w:t>
      </w:r>
      <w:r>
        <w:rPr>
          <w:rFonts w:hint="eastAsia"/>
          <w:color w:val="auto"/>
        </w:rPr>
        <w:t>（至仁沐新高速</w:t>
      </w:r>
      <w:r>
        <w:rPr>
          <w:rFonts w:hint="eastAsia"/>
          <w:color w:val="auto"/>
          <w:lang w:eastAsia="zh-CN"/>
        </w:rPr>
        <w:t>、</w:t>
      </w:r>
      <w:r>
        <w:rPr>
          <w:rFonts w:hint="eastAsia"/>
          <w:color w:val="auto"/>
        </w:rPr>
        <w:t>至乐山）：井乐大道；</w:t>
      </w:r>
    </w:p>
    <w:p w14:paraId="13B3FA7F">
      <w:pPr>
        <w:rPr>
          <w:color w:val="auto"/>
        </w:rPr>
      </w:pPr>
      <w:r>
        <w:rPr>
          <w:rFonts w:hint="eastAsia"/>
          <w:color w:val="auto"/>
          <w:lang w:val="en-US" w:eastAsia="zh-CN"/>
        </w:rPr>
        <w:t>南北向</w:t>
      </w:r>
      <w:r>
        <w:rPr>
          <w:rFonts w:hint="eastAsia"/>
          <w:color w:val="auto"/>
        </w:rPr>
        <w:t>（至宜宾</w:t>
      </w:r>
      <w:r>
        <w:rPr>
          <w:rFonts w:hint="eastAsia"/>
          <w:color w:val="auto"/>
          <w:lang w:eastAsia="zh-CN"/>
        </w:rPr>
        <w:t>、</w:t>
      </w:r>
      <w:r>
        <w:rPr>
          <w:rFonts w:hint="eastAsia"/>
          <w:color w:val="auto"/>
        </w:rPr>
        <w:t>至仁寿）：</w:t>
      </w:r>
      <w:r>
        <w:rPr>
          <w:rFonts w:hint="eastAsia"/>
          <w:color w:val="auto"/>
          <w:lang w:val="en-US" w:eastAsia="zh-CN"/>
        </w:rPr>
        <w:t>研溪南路</w:t>
      </w:r>
      <w:r>
        <w:rPr>
          <w:rFonts w:hint="eastAsia"/>
          <w:color w:val="auto"/>
        </w:rPr>
        <w:t>、幸福大道、规划东内环</w:t>
      </w:r>
      <w:r>
        <w:rPr>
          <w:rFonts w:hint="eastAsia"/>
          <w:color w:val="auto"/>
          <w:lang w:eastAsia="zh-CN"/>
        </w:rPr>
        <w:t>。</w:t>
      </w:r>
    </w:p>
    <w:p w14:paraId="56E139A4">
      <w:pPr>
        <w:pStyle w:val="4"/>
        <w:bidi w:val="0"/>
        <w:rPr>
          <w:color w:val="auto"/>
        </w:rPr>
      </w:pPr>
      <w:r>
        <w:rPr>
          <w:rFonts w:hint="eastAsia"/>
          <w:color w:val="auto"/>
          <w:lang w:eastAsia="zh-CN"/>
        </w:rPr>
        <w:t>（二）</w:t>
      </w:r>
      <w:r>
        <w:rPr>
          <w:rFonts w:hint="eastAsia"/>
          <w:color w:val="auto"/>
        </w:rPr>
        <w:t>内部交通</w:t>
      </w:r>
    </w:p>
    <w:p w14:paraId="63A4E60F">
      <w:pPr>
        <w:rPr>
          <w:rFonts w:hint="eastAsia"/>
          <w:color w:val="auto"/>
        </w:rPr>
      </w:pPr>
      <w:bookmarkStart w:id="1" w:name="_Toc358296593"/>
      <w:bookmarkStart w:id="2" w:name="_Toc414632143"/>
      <w:bookmarkStart w:id="3" w:name="_Toc420499425"/>
      <w:r>
        <w:rPr>
          <w:rFonts w:hint="eastAsia"/>
          <w:color w:val="auto"/>
        </w:rPr>
        <w:t>路网系统构建“</w:t>
      </w:r>
      <w:r>
        <w:rPr>
          <w:rFonts w:hint="eastAsia"/>
          <w:color w:val="auto"/>
          <w:lang w:val="en-US" w:eastAsia="zh-CN"/>
        </w:rPr>
        <w:t>三</w:t>
      </w:r>
      <w:r>
        <w:rPr>
          <w:rFonts w:hint="eastAsia"/>
          <w:color w:val="auto"/>
        </w:rPr>
        <w:t>横</w:t>
      </w:r>
      <w:r>
        <w:rPr>
          <w:rFonts w:hint="eastAsia"/>
          <w:color w:val="auto"/>
          <w:lang w:val="en-US" w:eastAsia="zh-CN"/>
        </w:rPr>
        <w:t>三纵</w:t>
      </w:r>
      <w:r>
        <w:rPr>
          <w:rFonts w:hint="eastAsia"/>
          <w:color w:val="auto"/>
        </w:rPr>
        <w:t>”的路网骨架，规划交通运输用地</w:t>
      </w:r>
      <w:r>
        <w:rPr>
          <w:rFonts w:hint="eastAsia"/>
          <w:color w:val="auto"/>
          <w:lang w:val="en-US" w:eastAsia="zh-CN"/>
        </w:rPr>
        <w:t>51.84</w:t>
      </w:r>
      <w:r>
        <w:rPr>
          <w:rFonts w:hint="eastAsia"/>
          <w:color w:val="auto"/>
        </w:rPr>
        <w:t>公顷，占城市建设用地的1</w:t>
      </w:r>
      <w:r>
        <w:rPr>
          <w:rFonts w:hint="eastAsia"/>
          <w:color w:val="auto"/>
          <w:lang w:val="en-US" w:eastAsia="zh-CN"/>
        </w:rPr>
        <w:t>3.48</w:t>
      </w:r>
      <w:r>
        <w:rPr>
          <w:rFonts w:hint="eastAsia"/>
          <w:color w:val="auto"/>
        </w:rPr>
        <w:t>%。规划道路网密度达到</w:t>
      </w:r>
      <w:r>
        <w:rPr>
          <w:rFonts w:hint="eastAsia"/>
          <w:color w:val="auto"/>
          <w:lang w:val="en-US" w:eastAsia="zh-CN"/>
        </w:rPr>
        <w:t>7</w:t>
      </w:r>
      <w:r>
        <w:rPr>
          <w:rFonts w:hint="eastAsia"/>
          <w:color w:val="auto"/>
        </w:rPr>
        <w:t>.</w:t>
      </w:r>
      <w:r>
        <w:rPr>
          <w:rFonts w:hint="eastAsia"/>
          <w:color w:val="auto"/>
          <w:lang w:val="en-US" w:eastAsia="zh-CN"/>
        </w:rPr>
        <w:t>23</w:t>
      </w:r>
      <w:r>
        <w:rPr>
          <w:rFonts w:hint="eastAsia"/>
          <w:color w:val="auto"/>
        </w:rPr>
        <w:t>千米/平方千米，道路规划为主干道、次干道、支路三个等级。</w:t>
      </w:r>
    </w:p>
    <w:p w14:paraId="34081BD7">
      <w:pPr>
        <w:rPr>
          <w:rFonts w:hint="eastAsia"/>
          <w:color w:val="auto"/>
        </w:rPr>
      </w:pPr>
      <w:r>
        <w:rPr>
          <w:rFonts w:hint="eastAsia"/>
          <w:color w:val="auto"/>
        </w:rPr>
        <w:t>主干道：道路红线控制宽度主要为</w:t>
      </w:r>
      <w:r>
        <w:rPr>
          <w:rFonts w:hint="eastAsia"/>
          <w:color w:val="auto"/>
          <w:lang w:val="en-US" w:eastAsia="zh-CN"/>
        </w:rPr>
        <w:t>30</w:t>
      </w:r>
      <w:r>
        <w:rPr>
          <w:rFonts w:hint="eastAsia"/>
          <w:color w:val="auto"/>
        </w:rPr>
        <w:t>～</w:t>
      </w:r>
      <w:r>
        <w:rPr>
          <w:rFonts w:hint="eastAsia"/>
          <w:color w:val="auto"/>
          <w:lang w:val="en-US" w:eastAsia="zh-CN"/>
        </w:rPr>
        <w:t>45</w:t>
      </w:r>
      <w:r>
        <w:rPr>
          <w:rFonts w:hint="eastAsia"/>
          <w:color w:val="auto"/>
        </w:rPr>
        <w:t>米，断面形式为一块板和三块板。</w:t>
      </w:r>
    </w:p>
    <w:p w14:paraId="63F6F124">
      <w:pPr>
        <w:rPr>
          <w:rFonts w:hint="eastAsia"/>
          <w:color w:val="auto"/>
        </w:rPr>
      </w:pPr>
      <w:r>
        <w:rPr>
          <w:rFonts w:hint="eastAsia"/>
          <w:color w:val="auto"/>
        </w:rPr>
        <w:t>次干道：道路红线控制宽度主要为</w:t>
      </w:r>
      <w:r>
        <w:rPr>
          <w:rFonts w:hint="eastAsia"/>
          <w:color w:val="auto"/>
          <w:lang w:val="en-US" w:eastAsia="zh-CN"/>
        </w:rPr>
        <w:t>24</w:t>
      </w:r>
      <w:r>
        <w:rPr>
          <w:rFonts w:hint="eastAsia"/>
          <w:color w:val="auto"/>
        </w:rPr>
        <w:t>～30米，断面形式为一块板。</w:t>
      </w:r>
    </w:p>
    <w:p w14:paraId="7D31D369">
      <w:pPr>
        <w:rPr>
          <w:rFonts w:hint="eastAsia"/>
          <w:color w:val="auto"/>
        </w:rPr>
      </w:pPr>
      <w:r>
        <w:rPr>
          <w:rFonts w:hint="eastAsia"/>
          <w:color w:val="auto"/>
        </w:rPr>
        <w:t>支路：道路红线控制宽度主要为小于20米，断面形式为一块板。</w:t>
      </w:r>
    </w:p>
    <w:p w14:paraId="18C7F57B">
      <w:pPr>
        <w:rPr>
          <w:rFonts w:hint="eastAsia"/>
          <w:color w:val="auto"/>
        </w:rPr>
      </w:pPr>
      <w:r>
        <w:rPr>
          <w:rFonts w:hint="eastAsia"/>
          <w:color w:val="auto"/>
        </w:rPr>
        <w:t>根据规划区的地形特点及规划用地性质、功能等因素，地面竖向主要采用平坡式的方式。</w:t>
      </w:r>
    </w:p>
    <w:p w14:paraId="77AB2757">
      <w:pPr>
        <w:rPr>
          <w:rFonts w:hint="eastAsia"/>
          <w:color w:val="auto"/>
        </w:rPr>
      </w:pPr>
      <w:r>
        <w:rPr>
          <w:rFonts w:hint="eastAsia"/>
          <w:color w:val="auto"/>
        </w:rPr>
        <w:t>用地竖向与道路竖向同时进行规划，道路高程结合雨水管道的布局、河流水系分布和地形条件综合平衡。规划区的道路纵坡控制在8%以下。场地排水汇集到排水主干管中，就近排入河流水体。</w:t>
      </w:r>
    </w:p>
    <w:p w14:paraId="7C4F9AAB">
      <w:pPr>
        <w:pStyle w:val="4"/>
        <w:bidi w:val="0"/>
        <w:rPr>
          <w:rFonts w:hint="eastAsia"/>
          <w:color w:val="auto"/>
        </w:rPr>
      </w:pPr>
      <w:r>
        <w:rPr>
          <w:rFonts w:hint="eastAsia"/>
          <w:color w:val="auto"/>
          <w:lang w:eastAsia="zh-CN"/>
        </w:rPr>
        <w:t>（三）公共交通</w:t>
      </w:r>
    </w:p>
    <w:p w14:paraId="7B5ACC89">
      <w:pPr>
        <w:rPr>
          <w:rFonts w:hint="eastAsia"/>
          <w:color w:val="auto"/>
        </w:rPr>
      </w:pPr>
      <w:r>
        <w:rPr>
          <w:rFonts w:hint="eastAsia"/>
          <w:color w:val="auto"/>
        </w:rPr>
        <w:t>1.公交场站规划</w:t>
      </w:r>
    </w:p>
    <w:p w14:paraId="6EDE8C01">
      <w:pPr>
        <w:rPr>
          <w:rFonts w:hint="eastAsia"/>
          <w:color w:val="auto"/>
        </w:rPr>
      </w:pPr>
      <w:r>
        <w:rPr>
          <w:rFonts w:hint="eastAsia"/>
          <w:color w:val="auto"/>
          <w:lang w:eastAsia="zh-CN"/>
        </w:rPr>
        <w:t>按照《城市道路交通规划设计规范》统一布局公交站点。结合高铁站点、公交起终站点等，规划2处公交首末站，与周边用地结合建设，不独立占地。规划在茫溪河东侧设置公交场站1处，用地面积0.45公顷，用作城市和城乡公交停保。</w:t>
      </w:r>
    </w:p>
    <w:p w14:paraId="68EA33EF">
      <w:pPr>
        <w:rPr>
          <w:rFonts w:hint="eastAsia"/>
          <w:color w:val="auto"/>
        </w:rPr>
      </w:pPr>
      <w:r>
        <w:rPr>
          <w:rFonts w:hint="eastAsia"/>
          <w:color w:val="auto"/>
        </w:rPr>
        <w:t>2.常规公交线路规划</w:t>
      </w:r>
    </w:p>
    <w:p w14:paraId="6524E58E">
      <w:pPr>
        <w:rPr>
          <w:rFonts w:hint="eastAsia"/>
          <w:color w:val="auto"/>
        </w:rPr>
      </w:pPr>
      <w:r>
        <w:rPr>
          <w:rFonts w:hint="eastAsia"/>
          <w:color w:val="auto"/>
        </w:rPr>
        <w:t>规划常规公交线路沿幸福大道、</w:t>
      </w:r>
      <w:r>
        <w:rPr>
          <w:rFonts w:hint="eastAsia"/>
          <w:color w:val="auto"/>
          <w:lang w:val="en-US" w:eastAsia="zh-CN"/>
        </w:rPr>
        <w:t>站前路</w:t>
      </w:r>
      <w:r>
        <w:rPr>
          <w:rFonts w:hint="eastAsia"/>
          <w:color w:val="auto"/>
        </w:rPr>
        <w:t>、</w:t>
      </w:r>
      <w:r>
        <w:rPr>
          <w:rFonts w:hint="eastAsia"/>
          <w:color w:val="auto"/>
          <w:lang w:val="en-US" w:eastAsia="zh-CN"/>
        </w:rPr>
        <w:t>兴盛路</w:t>
      </w:r>
      <w:r>
        <w:rPr>
          <w:rFonts w:hint="eastAsia"/>
          <w:color w:val="auto"/>
        </w:rPr>
        <w:t>等布设。</w:t>
      </w:r>
    </w:p>
    <w:p w14:paraId="338D9CE8">
      <w:pPr>
        <w:rPr>
          <w:rFonts w:hint="eastAsia"/>
          <w:color w:val="auto"/>
        </w:rPr>
      </w:pPr>
      <w:r>
        <w:rPr>
          <w:rFonts w:hint="eastAsia"/>
          <w:color w:val="auto"/>
        </w:rPr>
        <w:t>3.公交港湾式停靠站规划</w:t>
      </w:r>
    </w:p>
    <w:p w14:paraId="09ED8601">
      <w:pPr>
        <w:rPr>
          <w:rFonts w:hint="eastAsia"/>
          <w:color w:val="auto"/>
        </w:rPr>
      </w:pPr>
      <w:r>
        <w:rPr>
          <w:rFonts w:hint="eastAsia"/>
          <w:color w:val="auto"/>
        </w:rPr>
        <w:t>公交站点应优先结合交通枢纽、中小学校、幼儿园、医院、养老院、居住小区、大型商场和公园等交通集散点附近等设置，建议在主干道上布置港湾式停靠站。</w:t>
      </w:r>
    </w:p>
    <w:p w14:paraId="4E684B67">
      <w:pPr>
        <w:pStyle w:val="4"/>
        <w:bidi w:val="0"/>
        <w:rPr>
          <w:rFonts w:hint="eastAsia"/>
          <w:color w:val="auto"/>
          <w:lang w:eastAsia="zh-CN"/>
        </w:rPr>
      </w:pPr>
      <w:r>
        <w:rPr>
          <w:rFonts w:hint="eastAsia"/>
          <w:color w:val="auto"/>
          <w:lang w:eastAsia="zh-CN"/>
        </w:rPr>
        <w:t>（四）慢行交通</w:t>
      </w:r>
    </w:p>
    <w:p w14:paraId="457F0E57">
      <w:pPr>
        <w:rPr>
          <w:rFonts w:hint="eastAsia"/>
          <w:color w:val="auto"/>
        </w:rPr>
      </w:pPr>
      <w:r>
        <w:rPr>
          <w:rFonts w:hint="eastAsia"/>
          <w:color w:val="auto"/>
        </w:rPr>
        <w:t>规划结合公园绿地、城市景观空间等构建慢行交通规划体系，步行道宽度不低于</w:t>
      </w:r>
      <w:r>
        <w:rPr>
          <w:rFonts w:hint="eastAsia"/>
          <w:color w:val="auto"/>
          <w:lang w:val="en-US" w:eastAsia="zh-CN"/>
        </w:rPr>
        <w:t>3</w:t>
      </w:r>
      <w:r>
        <w:rPr>
          <w:rFonts w:hint="eastAsia"/>
          <w:color w:val="auto"/>
        </w:rPr>
        <w:t>米。</w:t>
      </w:r>
    </w:p>
    <w:p w14:paraId="6D6797D0">
      <w:pPr>
        <w:pStyle w:val="4"/>
        <w:bidi w:val="0"/>
        <w:rPr>
          <w:rFonts w:hint="eastAsia"/>
          <w:color w:val="auto"/>
        </w:rPr>
      </w:pPr>
      <w:r>
        <w:rPr>
          <w:rFonts w:hint="eastAsia"/>
          <w:color w:val="auto"/>
          <w:lang w:eastAsia="zh-CN"/>
        </w:rPr>
        <w:t>（五）其他设施</w:t>
      </w:r>
    </w:p>
    <w:p w14:paraId="3D59CD48">
      <w:pPr>
        <w:rPr>
          <w:rFonts w:hint="eastAsia"/>
          <w:color w:val="auto"/>
        </w:rPr>
      </w:pPr>
      <w:r>
        <w:rPr>
          <w:rFonts w:hint="eastAsia"/>
          <w:color w:val="auto"/>
        </w:rPr>
        <w:t>社会停车场主要结合城市广场和绿地设置生态停车场，其他停车需求主要由建筑配建停车场或地下停车库及部分路侧停车位解决，配建停车场设置要求服务半径不大于300米，并在各建设地块的配建车位要求中明确。规划鼓励单位配建停车场、库向社会公共开放使用。</w:t>
      </w:r>
    </w:p>
    <w:p w14:paraId="46B49164">
      <w:pPr>
        <w:rPr>
          <w:rFonts w:hint="eastAsia"/>
          <w:color w:val="auto"/>
        </w:rPr>
      </w:pPr>
      <w:r>
        <w:rPr>
          <w:rFonts w:hint="eastAsia"/>
          <w:color w:val="auto"/>
        </w:rPr>
        <w:t>本单元内</w:t>
      </w:r>
      <w:r>
        <w:rPr>
          <w:rFonts w:hint="eastAsia"/>
          <w:color w:val="auto"/>
          <w:highlight w:val="none"/>
          <w:lang w:val="en-US" w:eastAsia="zh-CN"/>
        </w:rPr>
        <w:t>新建</w:t>
      </w:r>
      <w:r>
        <w:rPr>
          <w:rFonts w:hint="eastAsia"/>
          <w:color w:val="auto"/>
        </w:rPr>
        <w:t>1处加油加气站，位于</w:t>
      </w:r>
      <w:r>
        <w:rPr>
          <w:rFonts w:hint="eastAsia"/>
          <w:color w:val="auto"/>
          <w:lang w:val="en-US" w:eastAsia="zh-CN"/>
        </w:rPr>
        <w:t>省道308和东绕线交汇处东南侧</w:t>
      </w:r>
      <w:r>
        <w:rPr>
          <w:rFonts w:hint="eastAsia"/>
          <w:color w:val="auto"/>
        </w:rPr>
        <w:t>。本单元内</w:t>
      </w:r>
      <w:r>
        <w:rPr>
          <w:rFonts w:hint="eastAsia"/>
          <w:color w:val="auto"/>
          <w:lang w:val="en-US" w:eastAsia="zh-CN"/>
        </w:rPr>
        <w:t>规划新增</w:t>
      </w:r>
      <w:r>
        <w:rPr>
          <w:rFonts w:hint="eastAsia"/>
          <w:color w:val="auto"/>
        </w:rPr>
        <w:t>电动汽车充电站一处，位于横一路</w:t>
      </w:r>
      <w:r>
        <w:rPr>
          <w:rFonts w:hint="eastAsia"/>
          <w:color w:val="auto"/>
          <w:lang w:val="en-US" w:eastAsia="zh-CN"/>
        </w:rPr>
        <w:t>北侧</w:t>
      </w:r>
      <w:r>
        <w:rPr>
          <w:rFonts w:hint="eastAsia"/>
          <w:color w:val="auto"/>
        </w:rPr>
        <w:t>公园绿地内部。依据《“电动四川”行动计划（2022—2025年）》，党政机关、事业单位、国有企业的新建停车场设置专属新能源充电停车位原则上不低于20%；大型商场、超市、文体场馆等公共停车场设置专属新能源充电停车位原则上不低于15%；新建居住社区固定车位充电桩比例原则上不低于15%。</w:t>
      </w:r>
    </w:p>
    <w:p w14:paraId="2EDADAA4">
      <w:pPr>
        <w:pStyle w:val="3"/>
        <w:bidi w:val="0"/>
        <w:rPr>
          <w:rFonts w:hint="eastAsia" w:eastAsia="黑体"/>
          <w:color w:val="auto"/>
          <w:lang w:eastAsia="zh-CN"/>
        </w:rPr>
      </w:pPr>
      <w:r>
        <w:rPr>
          <w:rFonts w:hint="eastAsia"/>
          <w:color w:val="auto"/>
          <w:lang w:eastAsia="zh-CN"/>
        </w:rPr>
        <w:t>八、公用设施</w:t>
      </w:r>
    </w:p>
    <w:p w14:paraId="66516559">
      <w:pPr>
        <w:rPr>
          <w:rFonts w:hint="eastAsia"/>
          <w:color w:val="auto"/>
          <w:lang w:val="en-US" w:eastAsia="zh-CN"/>
        </w:rPr>
      </w:pPr>
      <w:r>
        <w:rPr>
          <w:rFonts w:hint="eastAsia"/>
          <w:color w:val="auto"/>
          <w:lang w:val="en-US" w:eastAsia="zh-CN"/>
        </w:rPr>
        <w:t>1.给水工程</w:t>
      </w:r>
    </w:p>
    <w:p w14:paraId="157CB223">
      <w:pPr>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规划区由井研县城北自来水厂供水，其位于城镇开发边界以外，取水水源为大佛水库。供水管道均为环状布置，给水管道采用球墨铸铁管，布置在道路两侧的绿化带或人行道下。消防给水系统与城市给水系统共用，采用低压消防制，室外消防与室内消防结合的方式。</w:t>
      </w:r>
    </w:p>
    <w:p w14:paraId="67F084C5">
      <w:pPr>
        <w:rPr>
          <w:rFonts w:hint="eastAsia" w:ascii="仿宋" w:hAnsi="仿宋" w:cs="仿宋"/>
          <w:color w:val="auto"/>
          <w:sz w:val="32"/>
          <w:szCs w:val="32"/>
          <w:highlight w:val="none"/>
          <w:lang w:val="en-US" w:eastAsia="zh-CN"/>
        </w:rPr>
      </w:pPr>
      <w:r>
        <w:rPr>
          <w:rFonts w:hint="eastAsia" w:ascii="仿宋" w:hAnsi="仿宋" w:cs="仿宋"/>
          <w:color w:val="auto"/>
          <w:sz w:val="32"/>
          <w:szCs w:val="32"/>
          <w:highlight w:val="none"/>
          <w:lang w:val="en-US" w:eastAsia="zh-CN"/>
        </w:rPr>
        <w:t>2.排水工程</w:t>
      </w:r>
    </w:p>
    <w:p w14:paraId="2BEDB706">
      <w:pPr>
        <w:rPr>
          <w:rFonts w:hint="default" w:ascii="仿宋" w:hAnsi="仿宋" w:cs="仿宋"/>
          <w:color w:val="auto"/>
          <w:sz w:val="32"/>
          <w:szCs w:val="32"/>
          <w:highlight w:val="none"/>
          <w:lang w:val="en-US" w:eastAsia="zh-CN"/>
        </w:rPr>
      </w:pPr>
      <w:r>
        <w:rPr>
          <w:rFonts w:hint="default" w:ascii="仿宋" w:hAnsi="仿宋" w:cs="仿宋"/>
          <w:color w:val="auto"/>
          <w:sz w:val="32"/>
          <w:szCs w:val="32"/>
          <w:highlight w:val="none"/>
          <w:lang w:val="en-US" w:eastAsia="zh-CN"/>
        </w:rPr>
        <w:t>规划采用雨污分流的排水体制，暴雨重现期取3年。</w:t>
      </w:r>
    </w:p>
    <w:p w14:paraId="18C98E07">
      <w:pPr>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雨水管网工程采用重力流为主的排水方式。雨水受纳水体为茫溪河，雨水分区按流域敷设雨水管渠，就近排入水体。</w:t>
      </w:r>
    </w:p>
    <w:p w14:paraId="5896B3DF">
      <w:pPr>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城市</w:t>
      </w:r>
      <w:r>
        <w:rPr>
          <w:rFonts w:hint="eastAsia" w:ascii="仿宋" w:hAnsi="仿宋" w:cs="仿宋"/>
          <w:color w:val="auto"/>
          <w:sz w:val="32"/>
          <w:szCs w:val="32"/>
          <w:highlight w:val="none"/>
          <w:lang w:val="en-US" w:eastAsia="zh-CN"/>
        </w:rPr>
        <w:t>生活</w:t>
      </w:r>
      <w:r>
        <w:rPr>
          <w:rFonts w:hint="eastAsia" w:ascii="仿宋" w:hAnsi="仿宋" w:eastAsia="仿宋" w:cs="仿宋"/>
          <w:color w:val="auto"/>
          <w:sz w:val="32"/>
          <w:szCs w:val="32"/>
          <w:highlight w:val="none"/>
          <w:lang w:val="en-US" w:eastAsia="zh-CN"/>
        </w:rPr>
        <w:t>污水排入研溪新城第二污水处理厂</w:t>
      </w:r>
      <w:r>
        <w:rPr>
          <w:rFonts w:hint="eastAsia" w:ascii="仿宋" w:hAnsi="仿宋" w:cs="仿宋"/>
          <w:color w:val="auto"/>
          <w:sz w:val="32"/>
          <w:szCs w:val="32"/>
          <w:highlight w:val="none"/>
          <w:lang w:val="en-US" w:eastAsia="zh-CN"/>
        </w:rPr>
        <w:t>，工业污水排入东侧规划新建的工业污水处理厂</w:t>
      </w:r>
      <w:r>
        <w:rPr>
          <w:rFonts w:hint="eastAsia" w:ascii="仿宋" w:hAnsi="仿宋" w:eastAsia="仿宋" w:cs="仿宋"/>
          <w:color w:val="auto"/>
          <w:sz w:val="32"/>
          <w:szCs w:val="32"/>
          <w:highlight w:val="none"/>
          <w:lang w:val="en-US" w:eastAsia="zh-CN"/>
        </w:rPr>
        <w:t>。污水处理厂出厂水质应严格执行《四川省岷江、沱江流域水污染物排放标准》（DB51/2311—2016）的相关要求达标排放。</w:t>
      </w:r>
    </w:p>
    <w:p w14:paraId="0EB8AC53">
      <w:pPr>
        <w:rPr>
          <w:rFonts w:hint="eastAsia" w:ascii="仿宋" w:hAnsi="仿宋" w:cs="仿宋"/>
          <w:color w:val="auto"/>
          <w:sz w:val="32"/>
          <w:szCs w:val="32"/>
          <w:highlight w:val="none"/>
          <w:lang w:val="en-US" w:eastAsia="zh-CN"/>
        </w:rPr>
      </w:pPr>
      <w:r>
        <w:rPr>
          <w:rFonts w:hint="eastAsia" w:ascii="仿宋" w:hAnsi="仿宋" w:cs="仿宋"/>
          <w:color w:val="auto"/>
          <w:sz w:val="32"/>
          <w:szCs w:val="32"/>
          <w:highlight w:val="none"/>
          <w:lang w:val="en-US" w:eastAsia="zh-CN"/>
        </w:rPr>
        <w:t>3.供电工程</w:t>
      </w:r>
    </w:p>
    <w:p w14:paraId="7A12470D">
      <w:pPr>
        <w:rPr>
          <w:rFonts w:hint="default" w:ascii="仿宋" w:hAnsi="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现状供电电源为110kv石家桥变电站。规划对石家桥变电站扩容，容量为3×50MVA。在研溪新城规划一处变电站，占地面积0.8公顷，设置环网柜。</w:t>
      </w:r>
    </w:p>
    <w:p w14:paraId="504BD06A">
      <w:pPr>
        <w:rPr>
          <w:rFonts w:hint="eastAsia" w:ascii="仿宋" w:hAnsi="仿宋" w:cs="仿宋"/>
          <w:color w:val="auto"/>
          <w:sz w:val="32"/>
          <w:szCs w:val="32"/>
          <w:highlight w:val="none"/>
          <w:lang w:val="en-US" w:eastAsia="zh-CN"/>
        </w:rPr>
      </w:pPr>
      <w:r>
        <w:rPr>
          <w:rFonts w:hint="eastAsia" w:ascii="仿宋" w:hAnsi="仿宋" w:cs="仿宋"/>
          <w:color w:val="auto"/>
          <w:sz w:val="32"/>
          <w:szCs w:val="32"/>
          <w:highlight w:val="none"/>
          <w:lang w:val="en-US" w:eastAsia="zh-CN"/>
        </w:rPr>
        <w:t>4.燃气工程</w:t>
      </w:r>
    </w:p>
    <w:p w14:paraId="62FAC237">
      <w:pPr>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规划气源为井研门站。</w:t>
      </w:r>
    </w:p>
    <w:p w14:paraId="322AE07D">
      <w:pPr>
        <w:rPr>
          <w:rFonts w:hint="eastAsia" w:ascii="仿宋" w:hAnsi="仿宋" w:cs="仿宋"/>
          <w:color w:val="auto"/>
          <w:sz w:val="32"/>
          <w:szCs w:val="32"/>
          <w:highlight w:val="none"/>
          <w:lang w:val="en-US" w:eastAsia="zh-CN"/>
        </w:rPr>
      </w:pPr>
      <w:r>
        <w:rPr>
          <w:rFonts w:hint="eastAsia" w:ascii="仿宋" w:hAnsi="仿宋" w:cs="仿宋"/>
          <w:color w:val="auto"/>
          <w:sz w:val="32"/>
          <w:szCs w:val="32"/>
          <w:highlight w:val="none"/>
          <w:lang w:val="en-US" w:eastAsia="zh-CN"/>
        </w:rPr>
        <w:t>5.通讯工程</w:t>
      </w:r>
    </w:p>
    <w:p w14:paraId="2FAF7EDD">
      <w:pPr>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本规划区北侧规划设置一处邮政支局和一处</w:t>
      </w:r>
      <w:r>
        <w:rPr>
          <w:rFonts w:hint="eastAsia" w:ascii="仿宋" w:hAnsi="仿宋" w:cs="仿宋"/>
          <w:color w:val="auto"/>
          <w:sz w:val="32"/>
          <w:szCs w:val="32"/>
          <w:highlight w:val="none"/>
          <w:lang w:val="en-US" w:eastAsia="zh-CN"/>
        </w:rPr>
        <w:t>电信</w:t>
      </w:r>
      <w:r>
        <w:rPr>
          <w:rFonts w:hint="eastAsia" w:ascii="仿宋" w:hAnsi="仿宋" w:eastAsia="仿宋" w:cs="仿宋"/>
          <w:color w:val="auto"/>
          <w:sz w:val="32"/>
          <w:szCs w:val="32"/>
          <w:highlight w:val="none"/>
          <w:lang w:val="en-US" w:eastAsia="zh-CN"/>
        </w:rPr>
        <w:t>支局。电信干线全部采用地下管道敷设。</w:t>
      </w:r>
    </w:p>
    <w:p w14:paraId="02598C45">
      <w:pPr>
        <w:rPr>
          <w:rFonts w:hint="eastAsia" w:ascii="仿宋" w:hAnsi="仿宋" w:cs="仿宋"/>
          <w:color w:val="auto"/>
          <w:sz w:val="32"/>
          <w:szCs w:val="32"/>
          <w:highlight w:val="none"/>
          <w:lang w:val="en-US" w:eastAsia="zh-CN"/>
        </w:rPr>
      </w:pPr>
      <w:r>
        <w:rPr>
          <w:rFonts w:hint="eastAsia" w:ascii="仿宋" w:hAnsi="仿宋" w:cs="仿宋"/>
          <w:color w:val="auto"/>
          <w:sz w:val="32"/>
          <w:szCs w:val="32"/>
          <w:highlight w:val="none"/>
          <w:lang w:val="en-US" w:eastAsia="zh-CN"/>
        </w:rPr>
        <w:t>5.管线综合</w:t>
      </w:r>
    </w:p>
    <w:p w14:paraId="0D8E458E">
      <w:pPr>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平面布置：在城市道路下的工程管线，首先应布置在人行道与非机动车道下，其次才应将检修次数较少的管线布置在机动车道下。各种地下工程管线从道路红线向道路中心方向平行布置，原则上应遵循以下排列次序。</w:t>
      </w:r>
    </w:p>
    <w:p w14:paraId="79D7D6D3">
      <w:pPr>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道路东、北侧为：电信（含有线电视）、燃气、污水。</w:t>
      </w:r>
    </w:p>
    <w:p w14:paraId="2D07F4A1">
      <w:pPr>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道路西、南侧为：电力、给水、雨水。</w:t>
      </w:r>
    </w:p>
    <w:p w14:paraId="04170327">
      <w:pPr>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竖向布置：各种工程管线在交叉出现矛盾时应遵循小管让大管，压力流管让重力流管，可弯曲管让不可弯曲管等原则进行调整。各种管线竖向自地表向下排列的顺序宜为：电信管线、电力管线、燃气管线、给水管线、雨水排水管线、污水排水管线。</w:t>
      </w:r>
    </w:p>
    <w:p w14:paraId="3D2A111E">
      <w:pPr>
        <w:rPr>
          <w:rFonts w:hint="eastAsia" w:ascii="仿宋" w:hAnsi="仿宋" w:cs="仿宋"/>
          <w:color w:val="auto"/>
          <w:sz w:val="32"/>
          <w:szCs w:val="32"/>
          <w:highlight w:val="none"/>
          <w:lang w:val="en-US" w:eastAsia="zh-CN"/>
        </w:rPr>
      </w:pPr>
      <w:r>
        <w:rPr>
          <w:rFonts w:hint="eastAsia" w:ascii="仿宋" w:hAnsi="仿宋" w:cs="仿宋"/>
          <w:color w:val="auto"/>
          <w:sz w:val="32"/>
          <w:szCs w:val="32"/>
          <w:highlight w:val="none"/>
          <w:lang w:val="en-US" w:eastAsia="zh-CN"/>
        </w:rPr>
        <w:t>6.环卫设施</w:t>
      </w:r>
    </w:p>
    <w:p w14:paraId="0DC16835">
      <w:pPr>
        <w:rPr>
          <w:rFonts w:hint="default" w:ascii="仿宋" w:hAnsi="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公共厕所应以附属式公共厕所为主，独立式公共厕所为辅，移动式公共厕所为补充，规划共设置10座公共厕所。</w:t>
      </w:r>
      <w:r>
        <w:rPr>
          <w:rFonts w:hint="eastAsia" w:ascii="仿宋" w:hAnsi="仿宋" w:eastAsia="仿宋" w:cs="仿宋"/>
          <w:b w:val="0"/>
          <w:bCs w:val="0"/>
          <w:color w:val="auto"/>
          <w:sz w:val="32"/>
          <w:szCs w:val="32"/>
          <w:highlight w:val="none"/>
          <w:u w:val="none"/>
          <w:lang w:val="en-US" w:eastAsia="zh-CN"/>
        </w:rPr>
        <w:t>保留现状垃圾转运站</w:t>
      </w:r>
      <w:r>
        <w:rPr>
          <w:rFonts w:hint="eastAsia" w:ascii="仿宋" w:hAnsi="仿宋" w:cs="仿宋"/>
          <w:b w:val="0"/>
          <w:bCs w:val="0"/>
          <w:color w:val="auto"/>
          <w:sz w:val="32"/>
          <w:szCs w:val="32"/>
          <w:highlight w:val="none"/>
          <w:u w:val="none"/>
          <w:lang w:val="en-US" w:eastAsia="zh-CN"/>
        </w:rPr>
        <w:t>，设置5处垃圾收集站</w:t>
      </w:r>
      <w:r>
        <w:rPr>
          <w:rFonts w:hint="eastAsia" w:ascii="仿宋" w:hAnsi="仿宋" w:eastAsia="仿宋" w:cs="仿宋"/>
          <w:b w:val="0"/>
          <w:bCs w:val="0"/>
          <w:color w:val="auto"/>
          <w:sz w:val="32"/>
          <w:szCs w:val="32"/>
          <w:highlight w:val="none"/>
          <w:u w:val="none"/>
          <w:lang w:val="en-US" w:eastAsia="zh-CN"/>
        </w:rPr>
        <w:t>。</w:t>
      </w:r>
    </w:p>
    <w:bookmarkEnd w:id="1"/>
    <w:bookmarkEnd w:id="2"/>
    <w:bookmarkEnd w:id="3"/>
    <w:p w14:paraId="564C60CC">
      <w:pPr>
        <w:pStyle w:val="3"/>
        <w:bidi w:val="0"/>
        <w:rPr>
          <w:rFonts w:hint="eastAsia"/>
          <w:color w:val="auto"/>
          <w:lang w:eastAsia="zh-CN"/>
        </w:rPr>
      </w:pPr>
      <w:r>
        <w:rPr>
          <w:rFonts w:hint="eastAsia"/>
          <w:color w:val="auto"/>
          <w:lang w:eastAsia="zh-CN"/>
        </w:rPr>
        <w:t>九、综合防灾</w:t>
      </w:r>
    </w:p>
    <w:p w14:paraId="12502DD2">
      <w:pPr>
        <w:rPr>
          <w:rFonts w:hint="eastAsia"/>
          <w:color w:val="auto"/>
          <w:lang w:val="en-US" w:eastAsia="zh-CN"/>
        </w:rPr>
      </w:pPr>
      <w:r>
        <w:rPr>
          <w:rFonts w:hint="eastAsia"/>
          <w:color w:val="auto"/>
          <w:lang w:val="en-US" w:eastAsia="zh-CN"/>
        </w:rPr>
        <w:t>1.防洪排涝规划</w:t>
      </w:r>
    </w:p>
    <w:p w14:paraId="534D771D">
      <w:pPr>
        <w:rPr>
          <w:rFonts w:hint="default"/>
          <w:color w:val="auto"/>
          <w:lang w:val="en-US" w:eastAsia="zh-CN"/>
        </w:rPr>
      </w:pPr>
      <w:r>
        <w:rPr>
          <w:rFonts w:hint="default"/>
          <w:color w:val="auto"/>
          <w:lang w:val="en-US" w:eastAsia="zh-CN"/>
        </w:rPr>
        <w:t>规划区内茫溪河防洪标准为20年一遇。规划区内所有涉及防洪要求的工程建设项目均以水务部门出具的意见为准。规划区内涝防治标准为20年一遇。</w:t>
      </w:r>
    </w:p>
    <w:p w14:paraId="1ACDB960">
      <w:pPr>
        <w:rPr>
          <w:rFonts w:hint="eastAsia"/>
          <w:color w:val="auto"/>
          <w:lang w:val="en-US" w:eastAsia="zh-CN"/>
        </w:rPr>
      </w:pPr>
      <w:r>
        <w:rPr>
          <w:rFonts w:hint="eastAsia"/>
          <w:color w:val="auto"/>
          <w:lang w:val="en-US" w:eastAsia="zh-CN"/>
        </w:rPr>
        <w:t>2.抗震减灾规划</w:t>
      </w:r>
    </w:p>
    <w:p w14:paraId="5C31A111">
      <w:pPr>
        <w:rPr>
          <w:rFonts w:hint="default"/>
          <w:color w:val="auto"/>
          <w:lang w:val="en-US" w:eastAsia="zh-CN"/>
        </w:rPr>
      </w:pPr>
      <w:r>
        <w:rPr>
          <w:rFonts w:hint="default"/>
          <w:color w:val="auto"/>
          <w:lang w:val="en-US" w:eastAsia="zh-CN"/>
        </w:rPr>
        <w:t>规划区抗震设防烈度按6度设防，设计基本地震加速度值为0.05g。抗震设防的所有建筑应按现行国家标准《建筑工程抗震设防分类标准》确定其抗震设防类别及其抗震设防标准。</w:t>
      </w:r>
    </w:p>
    <w:p w14:paraId="54125BB2">
      <w:pPr>
        <w:rPr>
          <w:rFonts w:hint="eastAsia"/>
          <w:color w:val="auto"/>
          <w:lang w:val="en-US" w:eastAsia="zh-CN"/>
        </w:rPr>
      </w:pPr>
      <w:r>
        <w:rPr>
          <w:rFonts w:hint="eastAsia"/>
          <w:color w:val="auto"/>
          <w:lang w:val="en-US" w:eastAsia="zh-CN"/>
        </w:rPr>
        <w:t>3.消防规划</w:t>
      </w:r>
    </w:p>
    <w:p w14:paraId="5F88ABDD">
      <w:pPr>
        <w:rPr>
          <w:rFonts w:hint="default"/>
          <w:color w:val="auto"/>
          <w:lang w:val="en-US" w:eastAsia="zh-CN"/>
        </w:rPr>
      </w:pPr>
      <w:r>
        <w:rPr>
          <w:rFonts w:hint="default"/>
          <w:color w:val="auto"/>
          <w:lang w:val="en-US" w:eastAsia="zh-CN"/>
        </w:rPr>
        <w:t>规划在</w:t>
      </w:r>
      <w:r>
        <w:rPr>
          <w:rFonts w:hint="eastAsia"/>
          <w:color w:val="auto"/>
          <w:lang w:val="en-US" w:eastAsia="zh-CN"/>
        </w:rPr>
        <w:t>研溪新城</w:t>
      </w:r>
      <w:r>
        <w:rPr>
          <w:rFonts w:hint="default"/>
          <w:color w:val="auto"/>
          <w:lang w:val="en-US" w:eastAsia="zh-CN"/>
        </w:rPr>
        <w:t>内新建1处城市一级普通消防站，规划区内消防用水由市政给水管网供给。规划区内建设工程必须严格执行国家颁布的防火规范，加强消防基础设施建设。</w:t>
      </w:r>
    </w:p>
    <w:p w14:paraId="6478E719">
      <w:pPr>
        <w:rPr>
          <w:rFonts w:hint="eastAsia"/>
          <w:color w:val="auto"/>
          <w:lang w:val="en-US" w:eastAsia="zh-CN"/>
        </w:rPr>
      </w:pPr>
      <w:r>
        <w:rPr>
          <w:rFonts w:hint="eastAsia"/>
          <w:color w:val="auto"/>
          <w:lang w:val="en-US" w:eastAsia="zh-CN"/>
        </w:rPr>
        <w:t>4.人防工程规划</w:t>
      </w:r>
    </w:p>
    <w:p w14:paraId="35CCA379">
      <w:pPr>
        <w:rPr>
          <w:rFonts w:hint="default"/>
          <w:color w:val="auto"/>
          <w:lang w:val="en-US" w:eastAsia="zh-CN"/>
        </w:rPr>
      </w:pPr>
      <w:r>
        <w:rPr>
          <w:rFonts w:hint="default"/>
          <w:color w:val="auto"/>
          <w:lang w:val="en-US" w:eastAsia="zh-CN"/>
        </w:rPr>
        <w:t>人防工作应重点保护给水、电力、电信、道路、桥梁、交通枢纽等生命线工程。居住小区、高层建筑、重点目标及大型建筑，应修建防空地下室。</w:t>
      </w:r>
    </w:p>
    <w:p w14:paraId="4ACB9062">
      <w:pPr>
        <w:rPr>
          <w:rFonts w:hint="eastAsia"/>
          <w:color w:val="auto"/>
          <w:lang w:val="en-US" w:eastAsia="zh-CN"/>
        </w:rPr>
      </w:pPr>
      <w:r>
        <w:rPr>
          <w:rFonts w:hint="eastAsia"/>
          <w:color w:val="auto"/>
          <w:lang w:val="en-US" w:eastAsia="zh-CN"/>
        </w:rPr>
        <w:t>5.应急避难场所</w:t>
      </w:r>
    </w:p>
    <w:p w14:paraId="69B8E53D">
      <w:pPr>
        <w:rPr>
          <w:rFonts w:hint="default"/>
          <w:color w:val="auto"/>
          <w:lang w:val="en-US" w:eastAsia="zh-CN"/>
        </w:rPr>
      </w:pPr>
      <w:r>
        <w:rPr>
          <w:rFonts w:hint="default"/>
          <w:color w:val="auto"/>
          <w:lang w:val="en-US" w:eastAsia="zh-CN"/>
        </w:rPr>
        <w:t>规划利用公园绿地、广场、学校操场、体育场地等建设应急避难场所，形成分级分类的就近避难疏散系统。</w:t>
      </w:r>
    </w:p>
    <w:p w14:paraId="264D4174">
      <w:pPr>
        <w:rPr>
          <w:rFonts w:hint="eastAsia"/>
          <w:color w:val="auto"/>
          <w:lang w:val="en-US" w:eastAsia="zh-CN"/>
        </w:rPr>
      </w:pPr>
      <w:r>
        <w:rPr>
          <w:rFonts w:hint="eastAsia"/>
          <w:color w:val="auto"/>
          <w:lang w:val="en-US" w:eastAsia="zh-CN"/>
        </w:rPr>
        <w:t>6.防地质灾害</w:t>
      </w:r>
    </w:p>
    <w:p w14:paraId="44E95C3B">
      <w:pPr>
        <w:rPr>
          <w:rFonts w:hint="default"/>
          <w:color w:val="auto"/>
          <w:lang w:val="en-US" w:eastAsia="zh-CN"/>
        </w:rPr>
      </w:pPr>
      <w:r>
        <w:rPr>
          <w:rFonts w:hint="default"/>
          <w:color w:val="auto"/>
          <w:lang w:val="en-US" w:eastAsia="zh-CN"/>
        </w:rPr>
        <w:t>严格执行规划及建设项目的审批管理，各项目选址及开发建设必须有详尽的地质勘察资料。在开发建设过程中，应根据工程地质勘探情况采取相应的安全防范措施，情况严重且与本规划有重大矛盾者应重新编制相关规划设计。</w:t>
      </w:r>
    </w:p>
    <w:p w14:paraId="7572BF2F">
      <w:pPr>
        <w:pStyle w:val="3"/>
        <w:bidi w:val="0"/>
        <w:rPr>
          <w:color w:val="auto"/>
        </w:rPr>
      </w:pPr>
      <w:r>
        <w:rPr>
          <w:rFonts w:hint="eastAsia"/>
          <w:color w:val="auto"/>
          <w:lang w:eastAsia="zh-CN"/>
        </w:rPr>
        <w:t>十</w:t>
      </w:r>
      <w:r>
        <w:rPr>
          <w:rFonts w:hint="eastAsia"/>
          <w:color w:val="auto"/>
        </w:rPr>
        <w:t>、城市设计引导</w:t>
      </w:r>
    </w:p>
    <w:p w14:paraId="5703D71A">
      <w:pPr>
        <w:pStyle w:val="4"/>
        <w:bidi w:val="0"/>
        <w:rPr>
          <w:color w:val="auto"/>
        </w:rPr>
      </w:pPr>
      <w:r>
        <w:rPr>
          <w:rFonts w:hint="eastAsia"/>
          <w:color w:val="auto"/>
        </w:rPr>
        <w:t>（一）</w:t>
      </w:r>
      <w:r>
        <w:rPr>
          <w:rFonts w:hint="eastAsia"/>
          <w:color w:val="auto"/>
          <w:lang w:val="en-US" w:eastAsia="zh-CN"/>
        </w:rPr>
        <w:t>整体形态</w:t>
      </w:r>
    </w:p>
    <w:p w14:paraId="7AECF827">
      <w:pPr>
        <w:rPr>
          <w:rFonts w:hint="eastAsia"/>
          <w:color w:val="auto"/>
          <w:lang w:eastAsia="zh-CN"/>
        </w:rPr>
      </w:pPr>
      <w:r>
        <w:rPr>
          <w:rFonts w:hint="eastAsia"/>
          <w:color w:val="auto"/>
          <w:lang w:eastAsia="zh-CN"/>
        </w:rPr>
        <w:t>整体形成“拥抱绿心、一核引领、五区联动、轴带延伸”的空间结构。</w:t>
      </w:r>
    </w:p>
    <w:p w14:paraId="573DD71B">
      <w:pPr>
        <w:rPr>
          <w:rFonts w:hint="eastAsia"/>
          <w:color w:val="auto"/>
          <w:lang w:eastAsia="zh-CN"/>
        </w:rPr>
      </w:pPr>
      <w:r>
        <w:rPr>
          <w:rFonts w:hint="eastAsia"/>
          <w:color w:val="auto"/>
          <w:lang w:eastAsia="zh-CN"/>
        </w:rPr>
        <w:t>拥抱绿心：即研溪湿地景观绿心，突出研溪湿地与茫溪河的生态联系以及向新城片区内部的景观渗透，通过建筑和道路布局形成新城拥抱研溪湿地景观绿心的空间形态。</w:t>
      </w:r>
    </w:p>
    <w:p w14:paraId="41856366">
      <w:pPr>
        <w:rPr>
          <w:rFonts w:hint="eastAsia"/>
          <w:color w:val="auto"/>
          <w:lang w:eastAsia="zh-CN"/>
        </w:rPr>
      </w:pPr>
      <w:r>
        <w:rPr>
          <w:rFonts w:hint="eastAsia"/>
          <w:color w:val="auto"/>
          <w:lang w:eastAsia="zh-CN"/>
        </w:rPr>
        <w:t>一核引领：即科创产业服务中心。</w:t>
      </w:r>
    </w:p>
    <w:p w14:paraId="58AE5332">
      <w:pPr>
        <w:rPr>
          <w:rFonts w:hint="eastAsia"/>
          <w:color w:val="auto"/>
          <w:lang w:eastAsia="zh-CN"/>
        </w:rPr>
      </w:pPr>
      <w:r>
        <w:rPr>
          <w:rFonts w:hint="eastAsia"/>
          <w:color w:val="auto"/>
          <w:lang w:val="en-US" w:eastAsia="zh-CN"/>
        </w:rPr>
        <w:t>五</w:t>
      </w:r>
      <w:r>
        <w:rPr>
          <w:rFonts w:hint="eastAsia"/>
          <w:color w:val="auto"/>
          <w:lang w:eastAsia="zh-CN"/>
        </w:rPr>
        <w:t>区联动：包括品质居住风貌区、产学研创风貌区、工业风貌区、品质服务风貌区、物流仓储风貌区。</w:t>
      </w:r>
    </w:p>
    <w:p w14:paraId="3E2073D0">
      <w:pPr>
        <w:rPr>
          <w:rFonts w:hint="eastAsia"/>
          <w:color w:val="auto"/>
          <w:lang w:eastAsia="zh-CN"/>
        </w:rPr>
      </w:pPr>
      <w:r>
        <w:rPr>
          <w:rFonts w:hint="eastAsia"/>
          <w:color w:val="auto"/>
          <w:lang w:eastAsia="zh-CN"/>
        </w:rPr>
        <w:t>轴带延伸：塑造幸福大道城市综合发展带，兴盛路产城融合发展带，研溪南路城市形象展示带、茫溪河生态景观带。</w:t>
      </w:r>
    </w:p>
    <w:p w14:paraId="59F731AB">
      <w:pPr>
        <w:pStyle w:val="4"/>
        <w:bidi w:val="0"/>
        <w:rPr>
          <w:rFonts w:hint="eastAsia"/>
          <w:color w:val="auto"/>
          <w:lang w:eastAsia="zh-CN"/>
        </w:rPr>
      </w:pPr>
      <w:r>
        <w:rPr>
          <w:rFonts w:hint="eastAsia"/>
          <w:color w:val="auto"/>
          <w:lang w:eastAsia="zh-CN"/>
        </w:rPr>
        <w:t>（二）</w:t>
      </w:r>
      <w:r>
        <w:rPr>
          <w:rFonts w:hint="eastAsia"/>
          <w:color w:val="auto"/>
          <w:lang w:val="en-US" w:eastAsia="zh-CN"/>
        </w:rPr>
        <w:t>街区尺度</w:t>
      </w:r>
    </w:p>
    <w:p w14:paraId="1170E6BB">
      <w:pPr>
        <w:rPr>
          <w:rFonts w:hint="eastAsia"/>
          <w:color w:val="auto"/>
          <w:lang w:eastAsia="zh-CN"/>
        </w:rPr>
      </w:pPr>
      <w:r>
        <w:rPr>
          <w:rFonts w:hint="eastAsia"/>
          <w:color w:val="auto"/>
          <w:lang w:eastAsia="zh-CN"/>
        </w:rPr>
        <w:t>将片区的街区尺度划分为两种类型，一类是以居住和服务设施为主的城市功能片区，另一类是工业和仓储片区。城市功能片区街区尺度控制小于500m*500m，街道的宽度和街道两侧建筑物的高度比例控制在D/H=1或D/H=1/2，打造适宜的空间交往尺度，促进居民之间的交流和互动。工业和仓储片区街区尺度较城市功能片区大，便于土地出让并满足工业生产相关要求，街道的宽度和街道两侧建筑物的高度比例控制在D/H=1或D/H=2/1，给人一种开阔、通透的视觉感受。</w:t>
      </w:r>
    </w:p>
    <w:p w14:paraId="530363DB">
      <w:pPr>
        <w:pStyle w:val="4"/>
        <w:bidi w:val="0"/>
        <w:rPr>
          <w:rFonts w:hint="eastAsia"/>
          <w:color w:val="auto"/>
          <w:lang w:eastAsia="zh-CN"/>
        </w:rPr>
      </w:pPr>
      <w:r>
        <w:rPr>
          <w:rFonts w:hint="eastAsia"/>
          <w:color w:val="auto"/>
          <w:lang w:eastAsia="zh-CN"/>
        </w:rPr>
        <w:t>（</w:t>
      </w:r>
      <w:r>
        <w:rPr>
          <w:rFonts w:hint="eastAsia"/>
          <w:color w:val="auto"/>
          <w:lang w:val="en-US" w:eastAsia="zh-CN"/>
        </w:rPr>
        <w:t>三</w:t>
      </w:r>
      <w:r>
        <w:rPr>
          <w:rFonts w:hint="eastAsia"/>
          <w:color w:val="auto"/>
          <w:lang w:eastAsia="zh-CN"/>
        </w:rPr>
        <w:t>）</w:t>
      </w:r>
      <w:r>
        <w:rPr>
          <w:rFonts w:hint="eastAsia"/>
          <w:color w:val="auto"/>
          <w:lang w:val="en-US" w:eastAsia="zh-CN"/>
        </w:rPr>
        <w:t>空间节点</w:t>
      </w:r>
    </w:p>
    <w:p w14:paraId="26E1772E">
      <w:pPr>
        <w:rPr>
          <w:rFonts w:hint="eastAsia"/>
          <w:color w:val="auto"/>
          <w:lang w:eastAsia="zh-CN"/>
        </w:rPr>
      </w:pPr>
      <w:r>
        <w:rPr>
          <w:rFonts w:hint="eastAsia"/>
          <w:color w:val="auto"/>
          <w:lang w:eastAsia="zh-CN"/>
        </w:rPr>
        <w:t>研溪湿地景观节点：规划将观光、娱乐、餐饮、住宿、会议、艺术创作、体验、研学、购物等功能复合植入到研溪湿地可建设空间中，东区临近研溪南路地块布置大众化功能，打造热闹、有人气的氛围；西区以高端品质化功能为主，营造安静、宜人、品质化的氛围，完善研溪湿地功能，促进生态价值向社会和经济价值转化。</w:t>
      </w:r>
    </w:p>
    <w:p w14:paraId="4E153288">
      <w:pPr>
        <w:rPr>
          <w:rFonts w:hint="eastAsia"/>
          <w:color w:val="auto"/>
          <w:lang w:eastAsia="zh-CN"/>
        </w:rPr>
      </w:pPr>
      <w:r>
        <w:rPr>
          <w:rFonts w:hint="eastAsia"/>
          <w:color w:val="auto"/>
          <w:lang w:eastAsia="zh-CN"/>
        </w:rPr>
        <w:t>重要建筑节点：结合主要道路布置行政、商业、酒店、办公等功能，打造多个城市活力“触媒点”，激发公共空间活力，增强研溪新城吸引力，这些建筑及其公共空间也是新城高标准建设的重要抓手。</w:t>
      </w:r>
    </w:p>
    <w:p w14:paraId="7C979CFD">
      <w:pPr>
        <w:rPr>
          <w:rFonts w:hint="eastAsia"/>
          <w:color w:val="auto"/>
          <w:lang w:eastAsia="zh-CN"/>
        </w:rPr>
      </w:pPr>
      <w:r>
        <w:rPr>
          <w:rFonts w:hint="eastAsia"/>
          <w:color w:val="auto"/>
          <w:lang w:eastAsia="zh-CN"/>
        </w:rPr>
        <w:t>品质口袋公园节点：规划注重对品质化和人性化开敞空间的塑造，强化小规模口袋公园、街角游园的设置，利用道路节点、街头转角、公共建筑开敞空间，打造5处集生态、健身、慢行、休闲功能于一体的口袋公园、街角游园，通过打造精致绿化、配备健身器材等，拓展绿色公共空间，为市民提供多场所的室外活动空间，提升群众的幸福感和满意度，提升城市品质。</w:t>
      </w:r>
    </w:p>
    <w:p w14:paraId="028B2899">
      <w:pPr>
        <w:pStyle w:val="4"/>
        <w:bidi w:val="0"/>
        <w:rPr>
          <w:rFonts w:hint="eastAsia"/>
          <w:color w:val="auto"/>
          <w:lang w:eastAsia="zh-CN"/>
        </w:rPr>
      </w:pPr>
      <w:r>
        <w:rPr>
          <w:rFonts w:hint="eastAsia"/>
          <w:color w:val="auto"/>
          <w:lang w:eastAsia="zh-CN"/>
        </w:rPr>
        <w:t>（四）建筑</w:t>
      </w:r>
      <w:r>
        <w:rPr>
          <w:rFonts w:hint="eastAsia"/>
          <w:color w:val="auto"/>
          <w:lang w:val="en-US" w:eastAsia="zh-CN"/>
        </w:rPr>
        <w:t>色彩</w:t>
      </w:r>
      <w:r>
        <w:rPr>
          <w:rFonts w:hint="eastAsia"/>
          <w:color w:val="auto"/>
          <w:lang w:eastAsia="zh-CN"/>
        </w:rPr>
        <w:t>引导</w:t>
      </w:r>
    </w:p>
    <w:p w14:paraId="02E523AE">
      <w:pPr>
        <w:rPr>
          <w:rFonts w:hint="eastAsia"/>
          <w:color w:val="auto"/>
        </w:rPr>
      </w:pPr>
      <w:r>
        <w:rPr>
          <w:rFonts w:hint="eastAsia"/>
          <w:color w:val="auto"/>
        </w:rPr>
        <w:t>建筑应尽量使用本地产的天然材料，同时保持其天然的材质效果，避免过多的人工处理。</w:t>
      </w:r>
    </w:p>
    <w:p w14:paraId="1AFC63F2">
      <w:pPr>
        <w:rPr>
          <w:rFonts w:hint="eastAsia"/>
          <w:color w:val="auto"/>
        </w:rPr>
      </w:pPr>
      <w:r>
        <w:rPr>
          <w:rFonts w:hint="eastAsia"/>
          <w:color w:val="auto"/>
        </w:rPr>
        <w:t>为形成统一的、有特色与韵味的建筑风貌，建筑色彩以街坊为单位，保持其统一性，并与相邻街坊协调，以形成沿街建筑群的整体性和韵律感。公共建筑既要突出个性特点，又要注重环境的协调关系，禁止使用色彩过于鲜艳、刺眼的墙面材料、屋顶和玻璃。</w:t>
      </w:r>
    </w:p>
    <w:p w14:paraId="5D27DC5E">
      <w:pPr>
        <w:rPr>
          <w:rFonts w:hint="eastAsia"/>
          <w:color w:val="auto"/>
        </w:rPr>
      </w:pPr>
      <w:r>
        <w:rPr>
          <w:rFonts w:hint="eastAsia"/>
          <w:color w:val="auto"/>
        </w:rPr>
        <w:t>建筑墙面的色彩以中性色、暖色为主，屋顶色彩以灰色系为主。</w:t>
      </w:r>
    </w:p>
    <w:p w14:paraId="3122D7FA">
      <w:pPr>
        <w:pStyle w:val="4"/>
        <w:bidi w:val="0"/>
        <w:rPr>
          <w:rFonts w:hint="eastAsia"/>
          <w:color w:val="auto"/>
          <w:lang w:eastAsia="zh-CN"/>
        </w:rPr>
      </w:pPr>
      <w:r>
        <w:rPr>
          <w:rFonts w:hint="eastAsia"/>
          <w:color w:val="auto"/>
          <w:lang w:eastAsia="zh-CN"/>
        </w:rPr>
        <w:t>（五）建筑</w:t>
      </w:r>
      <w:r>
        <w:rPr>
          <w:rFonts w:hint="eastAsia"/>
          <w:color w:val="auto"/>
          <w:lang w:val="en-US" w:eastAsia="zh-CN"/>
        </w:rPr>
        <w:t>风格</w:t>
      </w:r>
      <w:r>
        <w:rPr>
          <w:rFonts w:hint="eastAsia"/>
          <w:color w:val="auto"/>
          <w:lang w:eastAsia="zh-CN"/>
        </w:rPr>
        <w:t>引导</w:t>
      </w:r>
    </w:p>
    <w:p w14:paraId="2027E4F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rPr>
      </w:pPr>
      <w:r>
        <w:rPr>
          <w:rFonts w:hint="eastAsia"/>
          <w:color w:val="auto"/>
        </w:rPr>
        <w:t>建议的建筑风格为：地方传统建筑风格，建筑传承当地民居的建筑文脉，采用坡屋顶、暖色清水砖墙，窗棱、柱础等构件回归原始，易产生认同感，主要分布于研溪湿地；现代简洁的建筑风格，墙面色彩明亮欢快，局部以鲜艳的色块点缀，大量运用玻璃、大挑台、大退台以及几何形立面分割，体现强烈的现代感与时代特征。</w:t>
      </w:r>
    </w:p>
    <w:p w14:paraId="07534C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rPr>
      </w:pPr>
      <w:r>
        <w:rPr>
          <w:rFonts w:hint="eastAsia"/>
          <w:color w:val="auto"/>
        </w:rPr>
        <w:t>禁止的建筑风格为：欧式学院派风格、新古典主义风格与中西结合风格。</w:t>
      </w:r>
    </w:p>
    <w:p w14:paraId="6168C73A">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rPr>
      </w:pPr>
      <w:r>
        <w:rPr>
          <w:rFonts w:hint="eastAsia"/>
          <w:color w:val="auto"/>
        </w:rPr>
        <w:t>简欧元素、南亚建筑元素可作为局部地块的建筑点缀，以美观为原则，丰富城市风貌，不宜大规模运用。</w:t>
      </w: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A39652">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0BF14FE">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40BF14FE">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640"/>
      </w:pPr>
      <w:r>
        <w:separator/>
      </w:r>
    </w:p>
  </w:footnote>
  <w:footnote w:type="continuationSeparator" w:id="1">
    <w:p>
      <w:pPr>
        <w:spacing w:line="36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055429"/>
    <w:multiLevelType w:val="multilevel"/>
    <w:tmpl w:val="5D055429"/>
    <w:lvl w:ilvl="0" w:tentative="0">
      <w:start w:val="1"/>
      <w:numFmt w:val="chineseCountingThousand"/>
      <w:suff w:val="nothing"/>
      <w:lvlText w:val="第%1章"/>
      <w:lvlJc w:val="left"/>
      <w:pPr>
        <w:ind w:left="0" w:firstLine="0"/>
      </w:pPr>
    </w:lvl>
    <w:lvl w:ilvl="1" w:tentative="0">
      <w:start w:val="1"/>
      <w:numFmt w:val="none"/>
      <w:suff w:val="nothing"/>
      <w:lvlText w:val=""/>
      <w:lvlJc w:val="left"/>
      <w:pPr>
        <w:ind w:left="0" w:firstLine="0"/>
      </w:pPr>
    </w:lvl>
    <w:lvl w:ilvl="2" w:tentative="0">
      <w:start w:val="1"/>
      <w:numFmt w:val="none"/>
      <w:pStyle w:val="4"/>
      <w:suff w:val="nothing"/>
      <w:lvlText w:val=""/>
      <w:lvlJc w:val="left"/>
      <w:pPr>
        <w:ind w:left="0" w:firstLine="0"/>
      </w:pPr>
    </w:lvl>
    <w:lvl w:ilvl="3" w:tentative="0">
      <w:start w:val="1"/>
      <w:numFmt w:val="none"/>
      <w:pStyle w:val="5"/>
      <w:suff w:val="nothing"/>
      <w:lvlText w:val=""/>
      <w:lvlJc w:val="left"/>
      <w:pPr>
        <w:ind w:left="0" w:firstLine="0"/>
      </w:pPr>
    </w:lvl>
    <w:lvl w:ilvl="4" w:tentative="0">
      <w:start w:val="1"/>
      <w:numFmt w:val="none"/>
      <w:pStyle w:val="6"/>
      <w:suff w:val="nothing"/>
      <w:lvlText w:val=""/>
      <w:lvlJc w:val="left"/>
      <w:pPr>
        <w:ind w:left="0" w:firstLine="0"/>
      </w:pPr>
    </w:lvl>
    <w:lvl w:ilvl="5" w:tentative="0">
      <w:start w:val="1"/>
      <w:numFmt w:val="none"/>
      <w:pStyle w:val="7"/>
      <w:suff w:val="nothing"/>
      <w:lvlText w:val=""/>
      <w:lvlJc w:val="left"/>
      <w:pPr>
        <w:ind w:left="0" w:firstLine="0"/>
      </w:pPr>
    </w:lvl>
    <w:lvl w:ilvl="6" w:tentative="0">
      <w:start w:val="1"/>
      <w:numFmt w:val="none"/>
      <w:pStyle w:val="8"/>
      <w:suff w:val="nothing"/>
      <w:lvlText w:val=""/>
      <w:lvlJc w:val="left"/>
      <w:pPr>
        <w:ind w:left="0" w:firstLine="0"/>
      </w:pPr>
    </w:lvl>
    <w:lvl w:ilvl="7" w:tentative="0">
      <w:start w:val="1"/>
      <w:numFmt w:val="none"/>
      <w:pStyle w:val="9"/>
      <w:suff w:val="nothing"/>
      <w:lvlText w:val=""/>
      <w:lvlJc w:val="left"/>
      <w:pPr>
        <w:ind w:left="0" w:firstLine="0"/>
      </w:pPr>
    </w:lvl>
    <w:lvl w:ilvl="8" w:tentative="0">
      <w:start w:val="1"/>
      <w:numFmt w:val="none"/>
      <w:pStyle w:val="10"/>
      <w:suff w:val="nothing"/>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50F9"/>
    <w:rsid w:val="00003581"/>
    <w:rsid w:val="00012EE4"/>
    <w:rsid w:val="00014309"/>
    <w:rsid w:val="0001606D"/>
    <w:rsid w:val="00026DD6"/>
    <w:rsid w:val="000B0794"/>
    <w:rsid w:val="001178B9"/>
    <w:rsid w:val="0013218E"/>
    <w:rsid w:val="001355EC"/>
    <w:rsid w:val="00176904"/>
    <w:rsid w:val="0018101E"/>
    <w:rsid w:val="00190DE0"/>
    <w:rsid w:val="001B69E6"/>
    <w:rsid w:val="00235147"/>
    <w:rsid w:val="00256FE5"/>
    <w:rsid w:val="002764FA"/>
    <w:rsid w:val="002833EC"/>
    <w:rsid w:val="002B26F2"/>
    <w:rsid w:val="002F71D6"/>
    <w:rsid w:val="00360700"/>
    <w:rsid w:val="00361DCE"/>
    <w:rsid w:val="00395507"/>
    <w:rsid w:val="00400238"/>
    <w:rsid w:val="00463AF9"/>
    <w:rsid w:val="00485647"/>
    <w:rsid w:val="00487D21"/>
    <w:rsid w:val="0052677A"/>
    <w:rsid w:val="005650F9"/>
    <w:rsid w:val="005848B6"/>
    <w:rsid w:val="00641FD1"/>
    <w:rsid w:val="0067328F"/>
    <w:rsid w:val="0067737C"/>
    <w:rsid w:val="006A570F"/>
    <w:rsid w:val="006B6526"/>
    <w:rsid w:val="007B39AE"/>
    <w:rsid w:val="008D7262"/>
    <w:rsid w:val="009C5DC6"/>
    <w:rsid w:val="00A068B7"/>
    <w:rsid w:val="00A513A0"/>
    <w:rsid w:val="00A51542"/>
    <w:rsid w:val="00A70141"/>
    <w:rsid w:val="00AE28A1"/>
    <w:rsid w:val="00BA65C7"/>
    <w:rsid w:val="00BE136A"/>
    <w:rsid w:val="00C20C4A"/>
    <w:rsid w:val="00C52228"/>
    <w:rsid w:val="00C716A8"/>
    <w:rsid w:val="00C97B43"/>
    <w:rsid w:val="00D42883"/>
    <w:rsid w:val="00D56476"/>
    <w:rsid w:val="00D872DC"/>
    <w:rsid w:val="00E55A4D"/>
    <w:rsid w:val="00E55BB0"/>
    <w:rsid w:val="00E8456B"/>
    <w:rsid w:val="00E973BE"/>
    <w:rsid w:val="00F004B8"/>
    <w:rsid w:val="00FD54FD"/>
    <w:rsid w:val="015728F0"/>
    <w:rsid w:val="03CE7CF1"/>
    <w:rsid w:val="06144CF1"/>
    <w:rsid w:val="081B54CF"/>
    <w:rsid w:val="08732C15"/>
    <w:rsid w:val="099519E5"/>
    <w:rsid w:val="09E35B78"/>
    <w:rsid w:val="09EE3807"/>
    <w:rsid w:val="0A4453BB"/>
    <w:rsid w:val="0CEE78D1"/>
    <w:rsid w:val="0CF06F2A"/>
    <w:rsid w:val="0CF90DC3"/>
    <w:rsid w:val="0E526D1E"/>
    <w:rsid w:val="0ED31895"/>
    <w:rsid w:val="10F66AD9"/>
    <w:rsid w:val="137F5C34"/>
    <w:rsid w:val="14C03686"/>
    <w:rsid w:val="16F413C5"/>
    <w:rsid w:val="172422A9"/>
    <w:rsid w:val="187C78C4"/>
    <w:rsid w:val="1B291859"/>
    <w:rsid w:val="1C35554F"/>
    <w:rsid w:val="2106743D"/>
    <w:rsid w:val="230C2131"/>
    <w:rsid w:val="24F82505"/>
    <w:rsid w:val="254E4396"/>
    <w:rsid w:val="26DB60FD"/>
    <w:rsid w:val="27B04E16"/>
    <w:rsid w:val="28C835C6"/>
    <w:rsid w:val="291A771D"/>
    <w:rsid w:val="2A181417"/>
    <w:rsid w:val="2A832D34"/>
    <w:rsid w:val="2A9B0ECA"/>
    <w:rsid w:val="2B292012"/>
    <w:rsid w:val="2C5548F9"/>
    <w:rsid w:val="2C8A344F"/>
    <w:rsid w:val="2D1F714C"/>
    <w:rsid w:val="2D6F6DC0"/>
    <w:rsid w:val="2E0566D7"/>
    <w:rsid w:val="2E223A0E"/>
    <w:rsid w:val="331B6ED3"/>
    <w:rsid w:val="34533777"/>
    <w:rsid w:val="34A935F3"/>
    <w:rsid w:val="3695603B"/>
    <w:rsid w:val="3B0C4680"/>
    <w:rsid w:val="3B1874C8"/>
    <w:rsid w:val="3BC1546A"/>
    <w:rsid w:val="3C0E2679"/>
    <w:rsid w:val="3C7E77FF"/>
    <w:rsid w:val="3D1F4BB4"/>
    <w:rsid w:val="3E4E1D0D"/>
    <w:rsid w:val="3F4978CC"/>
    <w:rsid w:val="3F5E78A2"/>
    <w:rsid w:val="400164BB"/>
    <w:rsid w:val="407647CE"/>
    <w:rsid w:val="40BC6B48"/>
    <w:rsid w:val="40EF2A79"/>
    <w:rsid w:val="41A24AFA"/>
    <w:rsid w:val="446A5D56"/>
    <w:rsid w:val="45C736D0"/>
    <w:rsid w:val="45CE1495"/>
    <w:rsid w:val="4642364B"/>
    <w:rsid w:val="47D373FD"/>
    <w:rsid w:val="499624A2"/>
    <w:rsid w:val="4B614BB5"/>
    <w:rsid w:val="4BAD3A77"/>
    <w:rsid w:val="4CAA5592"/>
    <w:rsid w:val="4E433097"/>
    <w:rsid w:val="4F2E4704"/>
    <w:rsid w:val="50B9275C"/>
    <w:rsid w:val="529D7230"/>
    <w:rsid w:val="53A771E4"/>
    <w:rsid w:val="53E44686"/>
    <w:rsid w:val="54CB6F02"/>
    <w:rsid w:val="55093511"/>
    <w:rsid w:val="5560589C"/>
    <w:rsid w:val="55CB7CD6"/>
    <w:rsid w:val="56D41A26"/>
    <w:rsid w:val="57AE07FF"/>
    <w:rsid w:val="57C944A1"/>
    <w:rsid w:val="58337298"/>
    <w:rsid w:val="58F06E3A"/>
    <w:rsid w:val="596B480F"/>
    <w:rsid w:val="598C3104"/>
    <w:rsid w:val="599C4367"/>
    <w:rsid w:val="5A663955"/>
    <w:rsid w:val="5D3E4715"/>
    <w:rsid w:val="5DE03A1E"/>
    <w:rsid w:val="5E1E26DD"/>
    <w:rsid w:val="5E7C13E0"/>
    <w:rsid w:val="62C63C6B"/>
    <w:rsid w:val="63267BA3"/>
    <w:rsid w:val="635247D8"/>
    <w:rsid w:val="63660521"/>
    <w:rsid w:val="64FC258A"/>
    <w:rsid w:val="65BA6C64"/>
    <w:rsid w:val="6811671C"/>
    <w:rsid w:val="6E0E7AF5"/>
    <w:rsid w:val="711C6F3F"/>
    <w:rsid w:val="727A7B45"/>
    <w:rsid w:val="7A4B0019"/>
    <w:rsid w:val="7B3B2796"/>
    <w:rsid w:val="7C1D1542"/>
    <w:rsid w:val="7C8E31B6"/>
    <w:rsid w:val="7E1370A0"/>
    <w:rsid w:val="7E333F9D"/>
    <w:rsid w:val="7E415E6E"/>
    <w:rsid w:val="7E71462F"/>
    <w:rsid w:val="7E8C79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643" w:firstLineChars="200"/>
      <w:jc w:val="both"/>
    </w:pPr>
    <w:rPr>
      <w:rFonts w:ascii="Times New Roman" w:hAnsi="Times New Roman" w:eastAsia="仿宋" w:cstheme="minorBidi"/>
      <w:kern w:val="2"/>
      <w:sz w:val="32"/>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26"/>
    <w:qFormat/>
    <w:uiPriority w:val="9"/>
    <w:pPr>
      <w:keepNext/>
      <w:keepLines/>
      <w:spacing w:before="100" w:after="100" w:line="240" w:lineRule="auto"/>
      <w:outlineLvl w:val="1"/>
    </w:pPr>
    <w:rPr>
      <w:rFonts w:ascii="Arial" w:hAnsi="Arial" w:eastAsia="黑体" w:cs="Times New Roman"/>
      <w:b/>
      <w:bCs/>
      <w:szCs w:val="32"/>
    </w:rPr>
  </w:style>
  <w:style w:type="paragraph" w:styleId="4">
    <w:name w:val="heading 3"/>
    <w:basedOn w:val="1"/>
    <w:next w:val="1"/>
    <w:link w:val="25"/>
    <w:qFormat/>
    <w:uiPriority w:val="99"/>
    <w:pPr>
      <w:keepNext/>
      <w:keepLines/>
      <w:numPr>
        <w:ilvl w:val="2"/>
        <w:numId w:val="1"/>
      </w:numPr>
      <w:spacing w:before="100" w:after="100" w:line="240" w:lineRule="auto"/>
      <w:outlineLvl w:val="2"/>
    </w:pPr>
    <w:rPr>
      <w:rFonts w:ascii="Times New Roman" w:hAnsi="Times New Roman" w:eastAsia="楷体" w:cs="Times New Roman"/>
      <w:b/>
      <w:bCs/>
      <w:szCs w:val="32"/>
    </w:rPr>
  </w:style>
  <w:style w:type="paragraph" w:styleId="5">
    <w:name w:val="heading 4"/>
    <w:basedOn w:val="1"/>
    <w:next w:val="1"/>
    <w:link w:val="19"/>
    <w:qFormat/>
    <w:uiPriority w:val="9"/>
    <w:pPr>
      <w:keepNext/>
      <w:keepLines/>
      <w:numPr>
        <w:ilvl w:val="3"/>
        <w:numId w:val="1"/>
      </w:numPr>
      <w:spacing w:before="280" w:after="290" w:line="376" w:lineRule="auto"/>
      <w:outlineLvl w:val="3"/>
    </w:pPr>
    <w:rPr>
      <w:rFonts w:ascii="Cambria" w:hAnsi="Cambria" w:eastAsia="宋体" w:cs="Times New Roman"/>
      <w:b/>
      <w:bCs/>
      <w:sz w:val="28"/>
      <w:szCs w:val="28"/>
    </w:rPr>
  </w:style>
  <w:style w:type="paragraph" w:styleId="6">
    <w:name w:val="heading 5"/>
    <w:basedOn w:val="1"/>
    <w:next w:val="1"/>
    <w:link w:val="20"/>
    <w:qFormat/>
    <w:uiPriority w:val="9"/>
    <w:pPr>
      <w:keepNext/>
      <w:keepLines/>
      <w:numPr>
        <w:ilvl w:val="4"/>
        <w:numId w:val="1"/>
      </w:numPr>
      <w:spacing w:before="280" w:after="290" w:line="376" w:lineRule="auto"/>
      <w:outlineLvl w:val="4"/>
    </w:pPr>
    <w:rPr>
      <w:rFonts w:ascii="Times New Roman" w:hAnsi="Times New Roman" w:eastAsia="宋体" w:cs="Times New Roman"/>
      <w:b/>
      <w:bCs/>
      <w:sz w:val="28"/>
      <w:szCs w:val="28"/>
    </w:rPr>
  </w:style>
  <w:style w:type="paragraph" w:styleId="7">
    <w:name w:val="heading 6"/>
    <w:basedOn w:val="1"/>
    <w:next w:val="1"/>
    <w:link w:val="21"/>
    <w:qFormat/>
    <w:uiPriority w:val="9"/>
    <w:pPr>
      <w:keepNext/>
      <w:keepLines/>
      <w:numPr>
        <w:ilvl w:val="5"/>
        <w:numId w:val="1"/>
      </w:numPr>
      <w:spacing w:before="240" w:after="64" w:line="320" w:lineRule="auto"/>
      <w:outlineLvl w:val="5"/>
    </w:pPr>
    <w:rPr>
      <w:rFonts w:ascii="Cambria" w:hAnsi="Cambria" w:eastAsia="宋体" w:cs="Times New Roman"/>
      <w:b/>
      <w:bCs/>
      <w:sz w:val="24"/>
      <w:szCs w:val="24"/>
    </w:rPr>
  </w:style>
  <w:style w:type="paragraph" w:styleId="8">
    <w:name w:val="heading 7"/>
    <w:basedOn w:val="1"/>
    <w:next w:val="1"/>
    <w:link w:val="22"/>
    <w:qFormat/>
    <w:uiPriority w:val="9"/>
    <w:pPr>
      <w:keepNext/>
      <w:keepLines/>
      <w:numPr>
        <w:ilvl w:val="6"/>
        <w:numId w:val="1"/>
      </w:numPr>
      <w:spacing w:before="240" w:after="64" w:line="320" w:lineRule="auto"/>
      <w:outlineLvl w:val="6"/>
    </w:pPr>
    <w:rPr>
      <w:rFonts w:ascii="Times New Roman" w:hAnsi="Times New Roman" w:eastAsia="宋体" w:cs="Times New Roman"/>
      <w:b/>
      <w:bCs/>
      <w:sz w:val="24"/>
      <w:szCs w:val="24"/>
    </w:rPr>
  </w:style>
  <w:style w:type="paragraph" w:styleId="9">
    <w:name w:val="heading 8"/>
    <w:basedOn w:val="1"/>
    <w:next w:val="1"/>
    <w:link w:val="23"/>
    <w:qFormat/>
    <w:uiPriority w:val="9"/>
    <w:pPr>
      <w:keepNext/>
      <w:keepLines/>
      <w:numPr>
        <w:ilvl w:val="7"/>
        <w:numId w:val="1"/>
      </w:numPr>
      <w:spacing w:before="240" w:after="64" w:line="320" w:lineRule="auto"/>
      <w:outlineLvl w:val="7"/>
    </w:pPr>
    <w:rPr>
      <w:rFonts w:ascii="Cambria" w:hAnsi="Cambria" w:eastAsia="宋体" w:cs="Times New Roman"/>
      <w:sz w:val="24"/>
      <w:szCs w:val="24"/>
    </w:rPr>
  </w:style>
  <w:style w:type="paragraph" w:styleId="10">
    <w:name w:val="heading 9"/>
    <w:basedOn w:val="1"/>
    <w:next w:val="1"/>
    <w:link w:val="24"/>
    <w:qFormat/>
    <w:uiPriority w:val="9"/>
    <w:pPr>
      <w:keepNext/>
      <w:keepLines/>
      <w:numPr>
        <w:ilvl w:val="8"/>
        <w:numId w:val="1"/>
      </w:numPr>
      <w:spacing w:before="240" w:after="64" w:line="320" w:lineRule="auto"/>
      <w:outlineLvl w:val="8"/>
    </w:pPr>
    <w:rPr>
      <w:rFonts w:ascii="Cambria" w:hAnsi="Cambria" w:eastAsia="宋体" w:cs="Times New Roman"/>
      <w:szCs w:val="21"/>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17"/>
    <w:semiHidden/>
    <w:unhideWhenUsed/>
    <w:uiPriority w:val="99"/>
    <w:pPr>
      <w:tabs>
        <w:tab w:val="center" w:pos="4153"/>
        <w:tab w:val="right" w:pos="8306"/>
      </w:tabs>
      <w:snapToGrid w:val="0"/>
      <w:jc w:val="left"/>
    </w:pPr>
    <w:rPr>
      <w:sz w:val="18"/>
      <w:szCs w:val="18"/>
    </w:rPr>
  </w:style>
  <w:style w:type="paragraph" w:styleId="12">
    <w:name w:val="header"/>
    <w:basedOn w:val="1"/>
    <w:link w:val="16"/>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16">
    <w:name w:val="页眉 Char"/>
    <w:basedOn w:val="15"/>
    <w:link w:val="12"/>
    <w:semiHidden/>
    <w:qFormat/>
    <w:uiPriority w:val="99"/>
    <w:rPr>
      <w:sz w:val="18"/>
      <w:szCs w:val="18"/>
    </w:rPr>
  </w:style>
  <w:style w:type="character" w:customStyle="1" w:styleId="17">
    <w:name w:val="页脚 Char"/>
    <w:basedOn w:val="15"/>
    <w:link w:val="11"/>
    <w:semiHidden/>
    <w:qFormat/>
    <w:uiPriority w:val="99"/>
    <w:rPr>
      <w:sz w:val="18"/>
      <w:szCs w:val="18"/>
    </w:rPr>
  </w:style>
  <w:style w:type="character" w:customStyle="1" w:styleId="18">
    <w:name w:val="标题 3 Char"/>
    <w:basedOn w:val="15"/>
    <w:link w:val="4"/>
    <w:semiHidden/>
    <w:qFormat/>
    <w:uiPriority w:val="9"/>
    <w:rPr>
      <w:b/>
      <w:bCs/>
      <w:sz w:val="32"/>
      <w:szCs w:val="32"/>
    </w:rPr>
  </w:style>
  <w:style w:type="character" w:customStyle="1" w:styleId="19">
    <w:name w:val="标题 4 Char"/>
    <w:basedOn w:val="15"/>
    <w:link w:val="5"/>
    <w:qFormat/>
    <w:uiPriority w:val="9"/>
    <w:rPr>
      <w:rFonts w:ascii="Cambria" w:hAnsi="Cambria" w:eastAsia="宋体" w:cs="Times New Roman"/>
      <w:b/>
      <w:bCs/>
      <w:sz w:val="28"/>
      <w:szCs w:val="28"/>
    </w:rPr>
  </w:style>
  <w:style w:type="character" w:customStyle="1" w:styleId="20">
    <w:name w:val="标题 5 Char"/>
    <w:basedOn w:val="15"/>
    <w:link w:val="6"/>
    <w:qFormat/>
    <w:uiPriority w:val="9"/>
    <w:rPr>
      <w:rFonts w:ascii="Times New Roman" w:hAnsi="Times New Roman" w:eastAsia="宋体" w:cs="Times New Roman"/>
      <w:b/>
      <w:bCs/>
      <w:sz w:val="28"/>
      <w:szCs w:val="28"/>
    </w:rPr>
  </w:style>
  <w:style w:type="character" w:customStyle="1" w:styleId="21">
    <w:name w:val="标题 6 Char"/>
    <w:basedOn w:val="15"/>
    <w:link w:val="7"/>
    <w:qFormat/>
    <w:uiPriority w:val="9"/>
    <w:rPr>
      <w:rFonts w:ascii="Cambria" w:hAnsi="Cambria" w:eastAsia="宋体" w:cs="Times New Roman"/>
      <w:b/>
      <w:bCs/>
      <w:sz w:val="24"/>
      <w:szCs w:val="24"/>
    </w:rPr>
  </w:style>
  <w:style w:type="character" w:customStyle="1" w:styleId="22">
    <w:name w:val="标题 7 Char"/>
    <w:basedOn w:val="15"/>
    <w:link w:val="8"/>
    <w:qFormat/>
    <w:uiPriority w:val="9"/>
    <w:rPr>
      <w:rFonts w:ascii="Times New Roman" w:hAnsi="Times New Roman" w:eastAsia="宋体" w:cs="Times New Roman"/>
      <w:b/>
      <w:bCs/>
      <w:sz w:val="24"/>
      <w:szCs w:val="24"/>
    </w:rPr>
  </w:style>
  <w:style w:type="character" w:customStyle="1" w:styleId="23">
    <w:name w:val="标题 8 Char"/>
    <w:basedOn w:val="15"/>
    <w:link w:val="9"/>
    <w:qFormat/>
    <w:uiPriority w:val="9"/>
    <w:rPr>
      <w:rFonts w:ascii="Cambria" w:hAnsi="Cambria" w:eastAsia="宋体" w:cs="Times New Roman"/>
      <w:sz w:val="24"/>
      <w:szCs w:val="24"/>
    </w:rPr>
  </w:style>
  <w:style w:type="character" w:customStyle="1" w:styleId="24">
    <w:name w:val="标题 9 Char"/>
    <w:basedOn w:val="15"/>
    <w:link w:val="10"/>
    <w:qFormat/>
    <w:uiPriority w:val="9"/>
    <w:rPr>
      <w:rFonts w:ascii="Cambria" w:hAnsi="Cambria" w:eastAsia="宋体" w:cs="Times New Roman"/>
      <w:szCs w:val="21"/>
    </w:rPr>
  </w:style>
  <w:style w:type="character" w:customStyle="1" w:styleId="25">
    <w:name w:val="标题 3 Char1"/>
    <w:basedOn w:val="15"/>
    <w:link w:val="4"/>
    <w:qFormat/>
    <w:locked/>
    <w:uiPriority w:val="99"/>
    <w:rPr>
      <w:rFonts w:ascii="Times New Roman" w:hAnsi="Times New Roman" w:eastAsia="楷体" w:cs="Times New Roman"/>
      <w:b/>
      <w:bCs/>
      <w:sz w:val="32"/>
      <w:szCs w:val="32"/>
    </w:rPr>
  </w:style>
  <w:style w:type="character" w:customStyle="1" w:styleId="26">
    <w:name w:val="标题 2 Char"/>
    <w:basedOn w:val="15"/>
    <w:link w:val="3"/>
    <w:qFormat/>
    <w:uiPriority w:val="99"/>
    <w:rPr>
      <w:rFonts w:ascii="Arial" w:hAnsi="Arial" w:eastAsia="黑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ontractReview xmlns="http://schemas.wps.cn/vas-ai-hub/contract-review">
  <reviewItems>
    <reviewItem>
      <errorID>4bc665a3-65ca-40dd-ae7f-c630b6ac70b9</errorID>
      <errorWord>主要为</errorWord>
      <group>L1_Word</group>
      <groupName>字词问题</groupName>
      <ability>L2_Typo</ability>
      <abilityName>字词错误</abilityName>
      <candidateList>
        <item>主要</item>
      </candidateList>
      <explain>〈形〉属性词。有关事物中最重要的；起决定作用的：～原因｜～目的｜～人物。</explain>
      <paraID>7D31D369</paraID>
      <start>11</start>
      <end>14</end>
      <status>ignored</status>
      <modifiedWord/>
      <trackRevisions>false</trackRevisions>
    </reviewItem>
    <reviewItem>
      <errorID>3d3090bf-245c-426c-97ea-c0ba82638043</errorID>
      <errorWord>其次才</errorWord>
      <group>L1_Word</group>
      <groupName>字词问题</groupName>
      <ability>L2_Typo</ability>
      <abilityName>字词错误</abilityName>
      <candidateList>
        <item>其次</item>
      </candidateList>
      <explain/>
      <paraID> D8E458E</paraID>
      <start>34</start>
      <end>37</end>
      <status>ignored</status>
      <modifiedWord/>
      <trackRevisions>false</trackRevisions>
    </reviewItem>
    <reviewItem>
      <errorID>6e84fb7a-6371-4595-bdca-99bc23e52441</errorID>
      <errorWord>、</errorWord>
      <group>L1_Word</group>
      <groupName>字词问题</groupName>
      <ability>L2_Typo</ability>
      <abilityName>字词错误</abilityName>
      <candidateList>
        <item>、具</item>
      </candidateList>
      <explain/>
      <paraID>1AFC63F2</paraID>
      <start>6</start>
      <end>7</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439519-9BA5-4709-AB67-4E8A7F492712}">
  <ds:schemaRefs/>
</ds:datastoreItem>
</file>

<file path=customXml/itemProps3.xml><?xml version="1.0" encoding="utf-8"?>
<ds:datastoreItem xmlns:ds="http://schemas.openxmlformats.org/officeDocument/2006/customXml" ds:itemID="{8dc7b158-2591-48f2-9bd1-22f1986e05db}">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13</Pages>
  <Words>5138</Words>
  <Characters>5321</Characters>
  <Lines>26</Lines>
  <Paragraphs>7</Paragraphs>
  <TotalTime>4</TotalTime>
  <ScaleCrop>false</ScaleCrop>
  <LinksUpToDate>false</LinksUpToDate>
  <CharactersWithSpaces>5322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2018-10-30T04:03:00Z</dcterms:created>
  <dc:creator>微软用户</dc:creator>
  <cp:lastModifiedBy>LeoVan</cp:lastModifiedBy>
  <dcterms:modified xsi:type="dcterms:W3CDTF">2026-04-28T08:04:49Z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eyJoZGlkIjoiYjJmZGFhMDRmNTM5Y2MzNTFjYzAzNmVkOWM4MjQ5YWEiLCJ1c2VySWQiOiI5NzExNDcwODgifQ==</vt:lpwstr>
  </property>
  <property fmtid="{D5CDD505-2E9C-101B-9397-08002B2CF9AE}" pid="3" name="KSOProductBuildVer">
    <vt:lpwstr>2052-12.1.0.25865</vt:lpwstr>
  </property>
  <property fmtid="{D5CDD505-2E9C-101B-9397-08002B2CF9AE}" pid="4" name="ICV">
    <vt:lpwstr>4CBEEEAF71174012BD8E479A9631DA27_13</vt:lpwstr>
  </property>
</Properties>
</file>