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《井研县制造业招商引资“百日攻坚”行动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（第三季）实施方案》政策解读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一、制定背景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spacing w:val="0"/>
          <w:sz w:val="32"/>
          <w:szCs w:val="32"/>
          <w:shd w:val="clear" w:fill="FFFFFF"/>
          <w:lang w:val="en-US" w:eastAsia="zh-CN"/>
        </w:rPr>
      </w:pPr>
      <w:r>
        <w:rPr>
          <w:rFonts w:hint="eastAsia" w:ascii="仿宋_GB2312" w:hAnsi="仿宋_GB2312" w:eastAsia="仿宋_GB2312" w:cs="仿宋_GB2312"/>
          <w:i w:val="0"/>
          <w:caps w:val="0"/>
          <w:spacing w:val="0"/>
          <w:sz w:val="32"/>
          <w:szCs w:val="32"/>
          <w:shd w:val="clear" w:fill="FFFFFF"/>
          <w:lang w:val="en-US" w:eastAsia="zh-CN"/>
        </w:rPr>
        <w:t>为深入贯彻党的二十大和习近平总书记对四川工作系列重要指示精神，全面落实省委、省政府制造强省战略部署，围绕市委、市政府产业强市发展战略，市政府决定实施全市制造业招商引资“百日攻坚”行动（第三季）〔以下简称“百日攻坚”行动（第三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二、工作目标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spacing w:val="0"/>
          <w:sz w:val="32"/>
          <w:szCs w:val="32"/>
          <w:shd w:val="clear" w:fill="FFFFFF"/>
          <w:lang w:val="en-US" w:eastAsia="zh-CN"/>
        </w:rPr>
      </w:pPr>
      <w:r>
        <w:rPr>
          <w:rFonts w:hint="eastAsia" w:ascii="仿宋_GB2312" w:hAnsi="仿宋_GB2312" w:eastAsia="仿宋_GB2312" w:cs="仿宋_GB2312"/>
          <w:i w:val="0"/>
          <w:caps w:val="0"/>
          <w:spacing w:val="0"/>
          <w:sz w:val="32"/>
          <w:szCs w:val="32"/>
          <w:shd w:val="clear" w:fill="FFFFFF"/>
          <w:lang w:val="en-US" w:eastAsia="zh-CN"/>
        </w:rPr>
        <w:t>通过开展“百日攻坚”行动（第三季），全县抓制造业招商引资浓厚氛围全面形成，制造业招商引资工作取得新成效。“百日攻坚”行动（第一季、第二季）签约项目累计落地率完成90%以上、累计开工率完成70%以上、累计投产率完成50%以上；“百日攻坚”行动（第三季）项目签约、履约落地、开工建设累计均超20亿元；省外引进产业项目新增实际投资不低于3亿元；FDI（外商直接投资）到资金额不低于30万美元；县党政负责同志带队外出招商每月不少于4次，走访目标企业每月不少于12家；被采用简报信息数量不少于12条；在引进落地国家级制造业单项冠军企业、国家级专精特新“小巨人”企业或项目、“链主型、总部型、平台型”企业、外资企业以及“填空白、补短板、国产自主”项目方面实现突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三、工作重点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楷体_GB2312" w:hAnsi="楷体_GB2312" w:eastAsia="楷体_GB2312" w:cs="楷体_GB2312"/>
          <w:kern w:val="0"/>
          <w:sz w:val="32"/>
          <w:szCs w:val="32"/>
          <w:shd w:val="clear" w:fill="FFFFFF"/>
          <w:lang w:val="en-US" w:eastAsia="zh-CN" w:bidi="ar"/>
        </w:rPr>
        <w:t>（一）聚焦重点产业招引。</w:t>
      </w:r>
      <w:r>
        <w:rPr>
          <w:rFonts w:hint="eastAsia" w:ascii="仿宋_GB2312" w:hAnsi="仿宋_GB2312" w:eastAsia="仿宋_GB2312" w:cs="仿宋_GB2312"/>
          <w:i w:val="0"/>
          <w:caps w:val="0"/>
          <w:spacing w:val="0"/>
          <w:sz w:val="32"/>
          <w:szCs w:val="32"/>
          <w:shd w:val="clear" w:fill="FFFFFF"/>
          <w:lang w:val="en-US" w:eastAsia="zh-CN"/>
        </w:rPr>
        <w:t>聚焦我县现代纺织、农副食品加工、智能制造、新材料四大先进制造业产业和新能源材料、数字经济等重点产业，按照“补链延链强链”和“园区集聚、成链发展”的发展思路，精准招引现代纺纱、服装制造、农副食品加工等产业头部企业和重点企业。主动融入“中国绿色硅谷”建设，抢抓新一轮科技革命和产业变革机遇，积极争取省市支持，科学布局晶硅光伏配套产业和高端天然气化工新材料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spacing w:val="0"/>
          <w:sz w:val="32"/>
          <w:szCs w:val="32"/>
          <w:shd w:val="clear" w:fill="FFFFFF"/>
          <w:lang w:val="en-US" w:eastAsia="zh-CN"/>
        </w:rPr>
      </w:pPr>
      <w:r>
        <w:rPr>
          <w:rFonts w:hint="eastAsia" w:ascii="楷体_GB2312" w:hAnsi="楷体_GB2312" w:eastAsia="楷体_GB2312" w:cs="楷体_GB2312"/>
          <w:kern w:val="0"/>
          <w:sz w:val="32"/>
          <w:szCs w:val="32"/>
          <w:shd w:val="clear" w:fill="FFFFFF"/>
          <w:lang w:val="en-US" w:eastAsia="zh-CN" w:bidi="ar"/>
        </w:rPr>
        <w:t>（二）面向重点区域招引。</w:t>
      </w:r>
      <w:r>
        <w:rPr>
          <w:rFonts w:hint="eastAsia" w:ascii="仿宋_GB2312" w:hAnsi="仿宋_GB2312" w:eastAsia="仿宋_GB2312" w:cs="仿宋_GB2312"/>
          <w:i w:val="0"/>
          <w:caps w:val="0"/>
          <w:spacing w:val="0"/>
          <w:sz w:val="32"/>
          <w:szCs w:val="32"/>
          <w:shd w:val="clear" w:fill="FFFFFF"/>
          <w:lang w:val="en-US" w:eastAsia="zh-CN"/>
        </w:rPr>
        <w:t>重点聚焦粤港澳大湾区、长三角、京津冀等沿海地区，加强与行业协会、产业联盟等机构交流对接，深化区域合作、承接产业转移。进一步拓展与制造业发达地区的交流合作，重点瞄准关键、核心、前沿技术领域企业，找准产业融合发展切入点，强化精准对接跟踪，吸引更多企业来井投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spacing w:val="0"/>
          <w:sz w:val="32"/>
          <w:szCs w:val="32"/>
          <w:shd w:val="clear" w:fill="FFFFFF"/>
          <w:lang w:val="en-US" w:eastAsia="zh-CN"/>
        </w:rPr>
      </w:pPr>
      <w:r>
        <w:rPr>
          <w:rFonts w:hint="eastAsia" w:ascii="楷体_GB2312" w:hAnsi="楷体_GB2312" w:eastAsia="楷体_GB2312" w:cs="楷体_GB2312"/>
          <w:kern w:val="0"/>
          <w:sz w:val="32"/>
          <w:szCs w:val="32"/>
          <w:shd w:val="clear" w:fill="FFFFFF"/>
          <w:lang w:val="en-US" w:eastAsia="zh-CN" w:bidi="ar"/>
        </w:rPr>
        <w:t>（三）紧盯重点企业招引。</w:t>
      </w:r>
      <w:r>
        <w:rPr>
          <w:rFonts w:hint="eastAsia" w:ascii="仿宋_GB2312" w:hAnsi="仿宋_GB2312" w:eastAsia="仿宋_GB2312" w:cs="仿宋_GB2312"/>
          <w:i w:val="0"/>
          <w:caps w:val="0"/>
          <w:spacing w:val="0"/>
          <w:sz w:val="32"/>
          <w:szCs w:val="32"/>
          <w:shd w:val="clear" w:fill="FFFFFF"/>
          <w:lang w:val="en-US" w:eastAsia="zh-CN"/>
        </w:rPr>
        <w:t>围绕制造业高端化、智能化、绿色化发展方向,积极招引“三类500强”企业、外资企业、国家级制造业单项冠军企业、国家级专精特新“小巨人”企业、“链主型、总部型、平台型”企业或项目落地落户。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spacing w:val="0"/>
          <w:sz w:val="32"/>
          <w:szCs w:val="32"/>
          <w:shd w:val="clear" w:fill="FFFFFF"/>
          <w:lang w:val="en-US" w:eastAsia="zh-CN"/>
        </w:rPr>
      </w:pPr>
      <w:r>
        <w:rPr>
          <w:rFonts w:ascii="楷体_GB2312" w:hAnsi="楷体_GB2312" w:eastAsia="楷体_GB2312" w:cs="楷体_GB2312"/>
          <w:color w:val="000000"/>
          <w:kern w:val="0"/>
          <w:sz w:val="32"/>
          <w:szCs w:val="32"/>
          <w:lang w:val="en-US" w:eastAsia="zh-CN" w:bidi="ar"/>
        </w:rPr>
        <w:t>（四）加快推进项目落地。</w:t>
      </w:r>
      <w:r>
        <w:rPr>
          <w:rFonts w:hint="eastAsia" w:ascii="仿宋_GB2312" w:hAnsi="仿宋_GB2312" w:eastAsia="仿宋_GB2312" w:cs="仿宋_GB2312"/>
          <w:i w:val="0"/>
          <w:caps w:val="0"/>
          <w:spacing w:val="0"/>
          <w:sz w:val="32"/>
          <w:szCs w:val="32"/>
          <w:shd w:val="clear" w:fill="FFFFFF"/>
          <w:lang w:val="en-US" w:eastAsia="zh-CN"/>
        </w:rPr>
        <w:t>全面梳理已签约未落地项目，落实专人负责，强化跟踪服务，加强已签约项目入库管理，实施项目落地、开工、投产动态监管，在为企业办理营业执照、项目备案、施工许可证等方面提供点对点服务。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spacing w:val="0"/>
          <w:sz w:val="32"/>
          <w:szCs w:val="32"/>
          <w:shd w:val="clear" w:fill="FFFFFF"/>
          <w:lang w:val="en-US" w:eastAsia="zh-CN"/>
        </w:rPr>
      </w:pPr>
      <w:r>
        <w:rPr>
          <w:rFonts w:ascii="楷体_GB2312" w:hAnsi="楷体_GB2312" w:eastAsia="楷体_GB2312" w:cs="楷体_GB2312"/>
          <w:color w:val="000000"/>
          <w:kern w:val="0"/>
          <w:sz w:val="32"/>
          <w:szCs w:val="32"/>
          <w:lang w:val="en-US" w:eastAsia="zh-CN" w:bidi="ar"/>
        </w:rPr>
        <w:t>（五）加强行业指导支持。</w:t>
      </w:r>
      <w:r>
        <w:rPr>
          <w:rFonts w:hint="eastAsia" w:ascii="仿宋_GB2312" w:hAnsi="仿宋_GB2312" w:eastAsia="仿宋_GB2312" w:cs="仿宋_GB2312"/>
          <w:i w:val="0"/>
          <w:caps w:val="0"/>
          <w:spacing w:val="0"/>
          <w:sz w:val="32"/>
          <w:szCs w:val="32"/>
          <w:shd w:val="clear" w:fill="FFFFFF"/>
          <w:lang w:val="en-US" w:eastAsia="zh-CN"/>
        </w:rPr>
        <w:t>研究制定出台针对性强、实用性高的政策措施，从支持行业整体发展角度帮助企业解决生产经营困难问题，指导符合条件的企业申报政策扶持项目、争创示范企业等，让行业帮扶贯穿于企业生产、销售、运行全流程，增强企业发展信心和投资信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spacing w:val="0"/>
          <w:sz w:val="32"/>
          <w:szCs w:val="32"/>
          <w:shd w:val="clear" w:fill="FFFFFF"/>
          <w:lang w:val="en-US" w:eastAsia="zh-CN"/>
        </w:rPr>
      </w:pPr>
      <w:r>
        <w:rPr>
          <w:rFonts w:ascii="楷体_GB2312" w:hAnsi="楷体_GB2312" w:eastAsia="楷体_GB2312" w:cs="楷体_GB2312"/>
          <w:color w:val="000000"/>
          <w:kern w:val="0"/>
          <w:sz w:val="32"/>
          <w:szCs w:val="32"/>
          <w:lang w:val="en-US" w:eastAsia="zh-CN" w:bidi="ar"/>
        </w:rPr>
        <w:t>（六）加大服务保障力度。</w:t>
      </w:r>
      <w:r>
        <w:rPr>
          <w:rFonts w:hint="eastAsia" w:ascii="仿宋_GB2312" w:hAnsi="仿宋_GB2312" w:eastAsia="仿宋_GB2312" w:cs="仿宋_GB2312"/>
          <w:i w:val="0"/>
          <w:caps w:val="0"/>
          <w:spacing w:val="0"/>
          <w:sz w:val="32"/>
          <w:szCs w:val="32"/>
          <w:shd w:val="clear" w:fill="FFFFFF"/>
          <w:lang w:val="en-US" w:eastAsia="zh-CN"/>
        </w:rPr>
        <w:t>围绕项目落地、审批、建设、投产等环节提供“一站式”服务，建立健全问题闭环解决机制，常态化开展“进千企、解难题、送服务、促发展”活动，及时协调解决项目落地建设过程中的各类瓶颈问题，服务保障项目落地建设，助推来井企业签得下、留得住、发展好、贡献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55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Autospacing="0" w:after="6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2023-07-03T03:58:27Z</dcterms:created>
  <dc:creator>jyy</dc:creator>
  <cp:lastModifiedBy>我♥依旧</cp:lastModifiedBy>
  <dcterms:modified xsi:type="dcterms:W3CDTF">2023-07-03T07:28:08Z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FC047F7CCE17484BB5A69F744B96B0C9</vt:lpwstr>
  </property>
</Properties>
</file>